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BB72" w14:textId="62B2EE15" w:rsidR="00573522" w:rsidRPr="00F204B6" w:rsidRDefault="00573522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  <w:bookmarkStart w:id="0" w:name="_Hlk133496030"/>
      <w:bookmarkStart w:id="1" w:name="_Toc107473356"/>
      <w:r w:rsidRPr="00F204B6">
        <w:rPr>
          <w:rFonts w:ascii="Lato" w:hAnsi="Lato" w:cstheme="minorHAnsi"/>
          <w:bCs/>
          <w:sz w:val="20"/>
          <w:szCs w:val="20"/>
        </w:rPr>
        <w:t xml:space="preserve">Załącznik nr </w:t>
      </w:r>
      <w:r w:rsidR="00C853DB" w:rsidRPr="00F204B6">
        <w:rPr>
          <w:rFonts w:ascii="Lato" w:hAnsi="Lato" w:cstheme="minorHAnsi"/>
          <w:bCs/>
          <w:sz w:val="20"/>
          <w:szCs w:val="20"/>
        </w:rPr>
        <w:t>2.2</w:t>
      </w:r>
      <w:r w:rsidR="00B92E2F" w:rsidRPr="00F204B6">
        <w:rPr>
          <w:rFonts w:ascii="Lato" w:hAnsi="Lato" w:cstheme="minorHAnsi"/>
          <w:bCs/>
          <w:sz w:val="20"/>
          <w:szCs w:val="20"/>
        </w:rPr>
        <w:t xml:space="preserve"> </w:t>
      </w:r>
      <w:r w:rsidRPr="00F204B6">
        <w:rPr>
          <w:rFonts w:ascii="Lato" w:hAnsi="Lato" w:cstheme="minorHAnsi"/>
          <w:bCs/>
          <w:sz w:val="20"/>
          <w:szCs w:val="20"/>
        </w:rPr>
        <w:t xml:space="preserve">do </w:t>
      </w:r>
      <w:r w:rsidR="00B45EA0" w:rsidRPr="00F204B6">
        <w:rPr>
          <w:rFonts w:ascii="Lato" w:hAnsi="Lato" w:cstheme="minorHAnsi"/>
          <w:bCs/>
          <w:sz w:val="20"/>
          <w:szCs w:val="20"/>
        </w:rPr>
        <w:t xml:space="preserve">Regulaminu wyboru </w:t>
      </w:r>
    </w:p>
    <w:p w14:paraId="0F3A2354" w14:textId="77777777" w:rsidR="001B1F67" w:rsidRPr="00F204B6" w:rsidRDefault="001B1F67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</w:p>
    <w:p w14:paraId="74B0AD03" w14:textId="4729A668" w:rsidR="001B1F67" w:rsidRPr="00F204B6" w:rsidRDefault="00B92E2F" w:rsidP="00F84E2E">
      <w:pPr>
        <w:spacing w:after="120" w:line="360" w:lineRule="auto"/>
        <w:jc w:val="center"/>
        <w:rPr>
          <w:rFonts w:ascii="Lato" w:hAnsi="Lato" w:cstheme="minorHAnsi"/>
          <w:b/>
          <w:sz w:val="20"/>
          <w:szCs w:val="20"/>
        </w:rPr>
      </w:pPr>
      <w:r w:rsidRPr="00F204B6">
        <w:rPr>
          <w:rFonts w:ascii="Lato" w:hAnsi="Lato" w:cstheme="minorHAnsi"/>
          <w:b/>
          <w:sz w:val="20"/>
          <w:szCs w:val="20"/>
        </w:rPr>
        <w:t xml:space="preserve">Szczegółowe warunki uznania wydatków za kwalifikowalne </w:t>
      </w:r>
      <w:r w:rsidR="007C45FB" w:rsidRPr="00F204B6">
        <w:rPr>
          <w:rFonts w:ascii="Lato" w:hAnsi="Lato" w:cstheme="minorHAnsi"/>
          <w:b/>
          <w:sz w:val="20"/>
          <w:szCs w:val="20"/>
        </w:rPr>
        <w:br/>
      </w:r>
      <w:r w:rsidRPr="00F204B6">
        <w:rPr>
          <w:rFonts w:ascii="Lato" w:hAnsi="Lato" w:cstheme="minorHAnsi"/>
          <w:b/>
          <w:sz w:val="20"/>
          <w:szCs w:val="20"/>
        </w:rPr>
        <w:t xml:space="preserve">w ramach 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inwestycji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Inwestycja D1</w:t>
      </w:r>
      <w:r w:rsidR="00EF2084" w:rsidRPr="00F204B6">
        <w:rPr>
          <w:rFonts w:ascii="Lato" w:hAnsi="Lato" w:cstheme="minorHAnsi"/>
          <w:b/>
          <w:sz w:val="20"/>
          <w:szCs w:val="20"/>
        </w:rPr>
        <w:t>.</w:t>
      </w:r>
      <w:r w:rsidR="00E779A1" w:rsidRPr="00F204B6">
        <w:rPr>
          <w:rFonts w:ascii="Lato" w:hAnsi="Lato" w:cstheme="minorHAnsi"/>
          <w:b/>
          <w:sz w:val="20"/>
          <w:szCs w:val="20"/>
        </w:rPr>
        <w:t>1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.1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„</w:t>
      </w:r>
      <w:bookmarkStart w:id="2" w:name="_Hlk147318705"/>
      <w:r w:rsidRPr="00F204B6">
        <w:rPr>
          <w:rFonts w:ascii="Lato" w:hAnsi="Lato" w:cstheme="minorHAnsi"/>
          <w:b/>
          <w:sz w:val="20"/>
          <w:szCs w:val="20"/>
        </w:rPr>
        <w:t xml:space="preserve">Rozwój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 modernizacja</w:t>
      </w:r>
      <w:r w:rsidRPr="00F204B6">
        <w:rPr>
          <w:rFonts w:ascii="Lato" w:hAnsi="Lato" w:cstheme="minorHAnsi"/>
          <w:b/>
          <w:sz w:val="20"/>
          <w:szCs w:val="20"/>
        </w:rPr>
        <w:t xml:space="preserve"> infrastruktury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 xml:space="preserve">centrów opieki wysokospecjalistycznej i innych </w:t>
      </w:r>
      <w:r w:rsidRPr="00F204B6">
        <w:rPr>
          <w:rFonts w:ascii="Lato" w:hAnsi="Lato" w:cstheme="minorHAnsi"/>
          <w:b/>
          <w:sz w:val="20"/>
          <w:szCs w:val="20"/>
        </w:rPr>
        <w:t>podmiotów leczniczych</w:t>
      </w:r>
      <w:bookmarkEnd w:id="2"/>
      <w:r w:rsidR="00EF3ED3" w:rsidRPr="00F204B6">
        <w:rPr>
          <w:rFonts w:ascii="Lato" w:hAnsi="Lato" w:cstheme="minorHAnsi"/>
          <w:b/>
          <w:bCs/>
          <w:sz w:val="20"/>
          <w:szCs w:val="20"/>
        </w:rPr>
        <w:t>”,</w:t>
      </w:r>
    </w:p>
    <w:p w14:paraId="4E56E4DF" w14:textId="246B3733" w:rsidR="00D037BA" w:rsidRPr="00F204B6" w:rsidRDefault="00182594" w:rsidP="00F84E2E">
      <w:pPr>
        <w:pStyle w:val="Nagwek2"/>
        <w:spacing w:before="0"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eastAsia="Times New Roman" w:hAnsi="Lato" w:cstheme="minorHAnsi"/>
          <w:i w:val="0"/>
          <w:sz w:val="20"/>
          <w:szCs w:val="20"/>
          <w:lang w:eastAsia="pl-PL"/>
        </w:rPr>
        <w:t xml:space="preserve">Rozdział 1 Ogólne warunki kwalifikowalności wydatków </w:t>
      </w:r>
    </w:p>
    <w:bookmarkEnd w:id="0"/>
    <w:p w14:paraId="089D70FB" w14:textId="36026983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hAnsi="Lato" w:cstheme="minorHAnsi"/>
          <w:i w:val="0"/>
          <w:sz w:val="20"/>
          <w:szCs w:val="20"/>
          <w:lang w:eastAsia="pl-PL"/>
        </w:rPr>
        <w:t>Ocena kwalifikowalności przedsięwzięcia</w:t>
      </w:r>
      <w:bookmarkEnd w:id="1"/>
    </w:p>
    <w:p w14:paraId="1B5AE383" w14:textId="23A3EEE8" w:rsidR="005A3518" w:rsidRPr="00F204B6" w:rsidRDefault="00407EE9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wydatku polega na analizie zgodności jego poniesienia z 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dokumentami wymienionymi poniżej oraz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obowiązującymi przepisami</w:t>
      </w:r>
      <w:r w:rsidR="005A351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: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2086742E" w14:textId="2CB38617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Krajowy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Plan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Odbudowy i Zwiększania Odporności zwany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lanem rozwojowym”</w:t>
      </w:r>
      <w:r w:rsidR="00DC521C" w:rsidRPr="00DC521C">
        <w:t xml:space="preserve"> </w:t>
      </w:r>
      <w:r w:rsidR="00DC521C" w:rsidRPr="00DC521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(KPO), zatwierdzony decyzją wykonawczą Rady z dnia 17 czerwca 2022 r., w sprawie zatwierdzenia oceny planu odbudowy i zwiększania odporności Polski COM (2022)268;</w:t>
      </w:r>
    </w:p>
    <w:p w14:paraId="34AC3B74" w14:textId="62D71A42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Rozporządzenie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Parlamentu Europejskiego i Rady (UE) nr 2021/241 z dnia 12 lutego 2021 r. ustanawiające Instrument na rzecz Odbudowy i Zwiększenia Odporności (Dz. Urz. UE L 57 z 18.02.2021, str. 17, z późn. zm.), zwan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„rozporządzeniem RRF”;</w:t>
      </w:r>
    </w:p>
    <w:p w14:paraId="3B50265D" w14:textId="5CCEFC0A" w:rsidR="00777C7F" w:rsidRPr="00F204B6" w:rsidRDefault="00FA0583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A228C7">
        <w:rPr>
          <w:rFonts w:ascii="Lato" w:hAnsi="Lato" w:cs="Arial"/>
          <w:sz w:val="20"/>
          <w:szCs w:val="20"/>
        </w:rPr>
        <w:t>Rozporządzenie Parlamentu Europejskiego i Rady (UE, Euratom) 2024/2509 z dnia 23 września 2024 r. w sprawie zasad finansowych mających ogólne zastosowanie do budżetu ogólnego Unii (Dz.U. L, nr 2024/2509 z 26.9.2024 zwane dalej „rozporządzeniem 2024/2509</w:t>
      </w:r>
      <w:r w:rsidR="001B2BF6">
        <w:rPr>
          <w:rFonts w:ascii="Lato" w:hAnsi="Lato" w:cs="Arial"/>
          <w:sz w:val="20"/>
          <w:szCs w:val="20"/>
        </w:rPr>
        <w:t>”</w:t>
      </w:r>
      <w:r w:rsidR="00777C7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;</w:t>
      </w:r>
    </w:p>
    <w:p w14:paraId="06BFDAA5" w14:textId="3A85B801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Decyzj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wykonawczą Rady (UE) 2022/0181 (NLE) z dnia 17 czerwca 2022 r. w sprawie zatwierdzenia oceny planu odbudowy i zwiększania odporności Polski (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COM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2022) 268 final)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), </w:t>
      </w:r>
      <w:r w:rsidR="000E4DA3" w:rsidRPr="00F204B6">
        <w:rPr>
          <w:rFonts w:ascii="Lato" w:hAnsi="Lato" w:cstheme="minorHAnsi"/>
          <w:sz w:val="20"/>
          <w:szCs w:val="20"/>
        </w:rPr>
        <w:t>zmieniona decyzją (COM(2023) 745 final) przyjętą w dniu 8 grudnia 2023 r.</w:t>
      </w:r>
      <w:r w:rsidR="00162FE9">
        <w:rPr>
          <w:rFonts w:ascii="Lato" w:hAnsi="Lato" w:cstheme="minorHAnsi"/>
          <w:sz w:val="20"/>
          <w:szCs w:val="20"/>
        </w:rPr>
        <w:t xml:space="preserve">, </w:t>
      </w:r>
      <w:r w:rsidR="00CE1007" w:rsidRPr="00F204B6">
        <w:rPr>
          <w:rFonts w:ascii="Lato" w:hAnsi="Lato" w:cstheme="minorHAnsi"/>
          <w:sz w:val="20"/>
          <w:szCs w:val="20"/>
        </w:rPr>
        <w:t>decyzją</w:t>
      </w:r>
      <w:r w:rsidR="00BE6CF3" w:rsidRPr="00F204B6">
        <w:rPr>
          <w:rFonts w:ascii="Lato" w:hAnsi="Lato" w:cstheme="minorHAnsi"/>
          <w:sz w:val="20"/>
          <w:szCs w:val="20"/>
        </w:rPr>
        <w:t xml:space="preserve"> (COM(2024) 284 final) przyjętą w dniu 16 lipca 2024 r.</w:t>
      </w:r>
      <w:r w:rsidR="00162FE9">
        <w:rPr>
          <w:rFonts w:ascii="Lato" w:hAnsi="Lato" w:cstheme="minorHAnsi"/>
          <w:sz w:val="20"/>
          <w:szCs w:val="20"/>
        </w:rPr>
        <w:t xml:space="preserve"> </w:t>
      </w:r>
      <w:r w:rsidR="00A528B1" w:rsidRPr="00A528B1">
        <w:rPr>
          <w:rFonts w:ascii="Lato" w:hAnsi="Lato" w:cstheme="minorHAnsi"/>
          <w:sz w:val="20"/>
          <w:szCs w:val="20"/>
        </w:rPr>
        <w:t>oraz decyzją 9590/25 przyjętą w dniu 20 czerwca 2025 r.</w:t>
      </w:r>
      <w:r w:rsidR="00162FE9">
        <w:rPr>
          <w:rFonts w:ascii="Lato" w:hAnsi="Lato" w:cs="Times New Roman"/>
          <w:sz w:val="20"/>
          <w:szCs w:val="20"/>
        </w:rPr>
        <w:t>;</w:t>
      </w:r>
    </w:p>
    <w:p w14:paraId="0F7FDC2A" w14:textId="4B5A3D28" w:rsidR="00594FD6" w:rsidRPr="00F204B6" w:rsidRDefault="00594FD6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19 lipca 2019 r. o zapewnianiu dostępności osobom ze szczególnymi potrzebami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1411</w:t>
      </w:r>
      <w:r w:rsidR="001B2BF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96E3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późn. zm.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);</w:t>
      </w:r>
    </w:p>
    <w:p w14:paraId="1BD6A4CA" w14:textId="3D84AC49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6 grudnia 2006 r. o zasadach prowadzenia polityki rozwoju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198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 zwaną dalej „ustawą o zasadach prowadzenia polityki rozwoju”;</w:t>
      </w:r>
    </w:p>
    <w:p w14:paraId="147C8D03" w14:textId="0961961B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Horyzontaln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zasad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kryteria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wyboru Przedsięwzięć dla Krajowego Planu Odbudowy i Zwiększenia Odporności;</w:t>
      </w:r>
    </w:p>
    <w:p w14:paraId="1E99AF98" w14:textId="69D5875E" w:rsidR="00745405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mową o objęcie wsparciem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4E007" w14:textId="7D1BA793" w:rsidR="00407EE9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nnymi dokumentami, do których stosowania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zobowiązał się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294A77CE" w14:textId="7349B403" w:rsidR="00407EE9" w:rsidRPr="00F204B6" w:rsidRDefault="0050490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Weryfikacja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kwalifikowalności poniesionego wydatku dokonywana jest przede wszystkim w trakcie realizacji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poprzez weryfikację wniosków o płatność oraz w trakcie kontroli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Punktem wyjścia dla weryfikacji kwalifikowalności wydatków na etapie realizacji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zatwierdzony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wniosek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Na etapie oceny wniosku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dokonywana jest ocena kwalifikowalności planowanych </w:t>
      </w:r>
      <w:r w:rsidR="00131952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poniesionych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wydatków. Przyjęcie danego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 realizacji i podpisanie</w:t>
      </w:r>
      <w:r w:rsidR="00407EE9" w:rsidRPr="00F204B6">
        <w:rPr>
          <w:rFonts w:ascii="Lato" w:hAnsi="Lato" w:cstheme="minorHAnsi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OWW</w:t>
      </w:r>
      <w:r w:rsidR="000565C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umowy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oznacza, że wszystkie wydatki, które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6F0D1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przedstawi we wniosku o płatność w trakcie realizacji 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zostaną </w:t>
      </w:r>
      <w:r w:rsidR="00E32FBC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uznane za kwalifikowalne</w:t>
      </w:r>
      <w:r w:rsidR="00777C7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poniesionych wydatków jest prowadzona także po zakończeniu realizacji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zakresie obowiązków nałożonych na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umową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D43A1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wynikających z przepisów prawa.</w:t>
      </w:r>
    </w:p>
    <w:p w14:paraId="30492155" w14:textId="54C8A78F" w:rsidR="00333E81" w:rsidRPr="00F204B6" w:rsidRDefault="00333E81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Wydatkiem kwalifikowalnym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ramach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może być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spełniający łącznie następujące warunki:</w:t>
      </w:r>
    </w:p>
    <w:p w14:paraId="44B3B4B3" w14:textId="6779E8E3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faktycznie poniesiony w okresie wskazanym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77328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7FE800ED" w14:textId="290D18A4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jest zgodny z obowiązującymi przepisami prawa unijnego oraz prawa krajowego, w tym przepisami regulującymi udzielanie pomocy publicznej</w:t>
      </w:r>
      <w:r w:rsidR="0044559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prawa zamówień publicznych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jeśli mają zastosowanie,</w:t>
      </w:r>
    </w:p>
    <w:p w14:paraId="02789144" w14:textId="79DBE128" w:rsidR="00333E81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</w:t>
      </w:r>
      <w:r w:rsidR="00333E8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zgodny z </w:t>
      </w:r>
      <w:r w:rsidR="00D471A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Planem rozwojowym,</w:t>
      </w:r>
    </w:p>
    <w:p w14:paraId="4275E500" w14:textId="1B576290" w:rsidR="00807A44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dotyczy działań zgodnych z zasadą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DNSH,</w:t>
      </w:r>
    </w:p>
    <w:p w14:paraId="6A96D16D" w14:textId="38E17F1B" w:rsidR="003F0007" w:rsidRPr="00F204B6" w:rsidRDefault="003F0007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jest zgodny z zasadami horyzontalnymi określonymi w art. 5 rozporządzenia RRF,</w:t>
      </w:r>
    </w:p>
    <w:p w14:paraId="66699945" w14:textId="43DA563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uwzględniony w budżecie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zakresie rzeczowym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906464" w:rsidRPr="00F204B6">
        <w:rPr>
          <w:rFonts w:ascii="Lato" w:hAnsi="Lato" w:cstheme="minorHAnsi"/>
          <w:sz w:val="20"/>
          <w:szCs w:val="20"/>
        </w:rPr>
        <w:t xml:space="preserve"> zawartym we wniosku o objęcie przedsięwzięcia wsparciem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CF92F9D" w14:textId="6E3D8BFA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poniesiony zgodnie z postanowieniami </w:t>
      </w:r>
      <w:r w:rsidR="005F366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mowy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4E75697" w14:textId="505D942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niezbędny do realizacji celów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został poniesiony w związku z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jego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realizacją,</w:t>
      </w:r>
    </w:p>
    <w:p w14:paraId="5BA01B4E" w14:textId="4D302317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dokonany w sposób przejrzysty, racjonalny i efektywny, z zachowaniem zasad uzyskiwania najlepszych efektów z danych nakładów,</w:t>
      </w:r>
    </w:p>
    <w:p w14:paraId="5166A5E6" w14:textId="0427573C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w</w:t>
      </w:r>
      <w:r w:rsidR="00184EFE"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y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kazany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we wniosku o płatność złożonym przez </w:t>
      </w:r>
      <w:r w:rsidR="00B7445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927222F" w14:textId="0C4D881A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>dotyczy towarów dostarczonych lub usług wykonanych lub robót zrealizowanych, w tym zaliczek dla wykonawców,</w:t>
      </w:r>
    </w:p>
    <w:p w14:paraId="26965524" w14:textId="4AE82BA0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3" w:name="_Hlk143683176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należycie udokumentowany, zgodnie ze szczegółowymi zasadami określonymi przez IOI</w:t>
      </w:r>
      <w:bookmarkEnd w:id="3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5B0EF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zastrzeżeniem pkt. 1.4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1DC07D0" w14:textId="21D7CBD3" w:rsidR="00BE6CF3" w:rsidRPr="00F204B6" w:rsidRDefault="00333E81" w:rsidP="00BE6CF3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zgodny z innymi warunkami uznania go za wydatek kwalifikowalny określonymi w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26852F1" w14:textId="1460B1FC" w:rsidR="00695399" w:rsidRPr="00F204B6" w:rsidRDefault="00BE022F" w:rsidP="00695399">
      <w:pPr>
        <w:pStyle w:val="Akapitzlist"/>
        <w:numPr>
          <w:ilvl w:val="1"/>
          <w:numId w:val="1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został sfinansowany lub nie będzie finansowany ramach planu rozwojowego lub innych unijnych programów, instrumentów, funduszy w ramach budżetu Unii Europejskiej na realizację Przedsięwzięcia (brak Podwójnego Finansowania Przedsięwzięcia) oraz nie otrzymał już i nie skorzysta z </w:t>
      </w:r>
      <w:bookmarkStart w:id="4" w:name="_Hlk17859175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finansowania środków budżetu państwa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69539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Narodowego Funduszu Zdrowia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Funduszu Medycznego </w:t>
      </w:r>
      <w:bookmarkEnd w:id="4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na realizację tego samego zakresu rzeczowego przedsięwzięcia w całości lub części - nie dotycz</w:t>
      </w:r>
      <w:r w:rsidR="002E774B">
        <w:rPr>
          <w:rFonts w:ascii="Lato" w:eastAsiaTheme="majorEastAsia" w:hAnsi="Lato" w:cstheme="minorHAnsi"/>
          <w:iCs/>
          <w:kern w:val="32"/>
          <w:sz w:val="20"/>
          <w:szCs w:val="20"/>
        </w:rPr>
        <w:t>y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środków własnych OOW</w:t>
      </w:r>
      <w:r w:rsidR="0077328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7427F68" w14:textId="44B35244" w:rsidR="00695399" w:rsidRPr="009A3ECE" w:rsidRDefault="00695399" w:rsidP="00695399">
      <w:pPr>
        <w:spacing w:after="120" w:line="360" w:lineRule="auto"/>
        <w:ind w:left="708"/>
        <w:contextualSpacing/>
        <w:rPr>
          <w:rFonts w:ascii="Lato" w:eastAsiaTheme="minorEastAsia" w:hAnsi="Lato" w:cs="Arial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o) jest 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 xml:space="preserve">związany z działaniami polegającymi na rozwoju i modernizacji 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infrastruktury szpitali 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zakwalifikowanych na </w:t>
      </w:r>
      <w:r w:rsidR="005D52D9" w:rsidRPr="009A3ECE">
        <w:rPr>
          <w:rFonts w:ascii="Lato" w:eastAsiaTheme="minorEastAsia" w:hAnsi="Lato" w:cs="Arial"/>
          <w:sz w:val="20"/>
          <w:szCs w:val="20"/>
          <w:lang w:eastAsia="pl-PL"/>
        </w:rPr>
        <w:t>drugi lub trzeci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 poziom zabezpieczenia opieki kardiologicznej</w:t>
      </w:r>
      <w:r w:rsidR="00C74196" w:rsidRPr="009A3ECE" w:rsidDel="00C74196">
        <w:rPr>
          <w:rFonts w:ascii="Lato" w:eastAsiaTheme="minorEastAsia" w:hAnsi="Lato" w:cs="Arial"/>
          <w:sz w:val="20"/>
          <w:szCs w:val="20"/>
          <w:lang w:eastAsia="pl-PL"/>
        </w:rPr>
        <w:t xml:space="preserve"> 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Krajowej Sieci </w:t>
      </w:r>
      <w:r w:rsidR="00FA0583" w:rsidRPr="009A3ECE">
        <w:rPr>
          <w:rFonts w:ascii="Lato" w:eastAsiaTheme="minorEastAsia" w:hAnsi="Lato" w:cs="Arial"/>
          <w:sz w:val="20"/>
          <w:szCs w:val="20"/>
          <w:lang w:eastAsia="pl-PL"/>
        </w:rPr>
        <w:t>Kardiologicznej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>, które wpisują się w następujące obszary:</w:t>
      </w:r>
    </w:p>
    <w:p w14:paraId="5D129A1C" w14:textId="7EAE16C3" w:rsidR="00C74196" w:rsidRPr="009A3ECE" w:rsidRDefault="00C74196" w:rsidP="00C74196">
      <w:pPr>
        <w:pStyle w:val="Akapitzlist"/>
        <w:numPr>
          <w:ilvl w:val="0"/>
          <w:numId w:val="34"/>
        </w:numPr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9A3ECE">
        <w:rPr>
          <w:rFonts w:ascii="Lato" w:eastAsiaTheme="minorEastAsia" w:hAnsi="Lato" w:cs="Arial"/>
          <w:sz w:val="20"/>
          <w:szCs w:val="20"/>
        </w:rPr>
        <w:t xml:space="preserve">zakup lub modernizacja urządzeń </w:t>
      </w:r>
      <w:r w:rsidR="005D52D9" w:rsidRPr="009A3ECE">
        <w:rPr>
          <w:rFonts w:ascii="Lato" w:eastAsiaTheme="minorEastAsia" w:hAnsi="Lato" w:cs="Arial"/>
          <w:sz w:val="20"/>
          <w:szCs w:val="20"/>
        </w:rPr>
        <w:t>lub</w:t>
      </w:r>
      <w:r w:rsidRPr="009A3ECE">
        <w:rPr>
          <w:rFonts w:ascii="Lato" w:eastAsiaTheme="minorEastAsia" w:hAnsi="Lato" w:cs="Arial"/>
          <w:sz w:val="20"/>
          <w:szCs w:val="20"/>
        </w:rPr>
        <w:t xml:space="preserve"> wyrobów medycznych niezbędnych do sprawowania opieki kardiologicznej w rozumieniu ustawy z dn. 4 czerwca 2025 r. o Krajowej Sieci Kardiologicznej </w:t>
      </w:r>
      <w:r w:rsidR="001B2BF6" w:rsidRPr="009A3ECE">
        <w:rPr>
          <w:rFonts w:ascii="Lato" w:eastAsiaTheme="minorEastAsia" w:hAnsi="Lato" w:cs="Arial"/>
          <w:sz w:val="20"/>
          <w:szCs w:val="20"/>
        </w:rPr>
        <w:t>(</w:t>
      </w:r>
      <w:r w:rsidR="001B2BF6" w:rsidRPr="009A3ECE">
        <w:rPr>
          <w:rFonts w:ascii="Lato" w:hAnsi="Lato" w:cs="Arial"/>
          <w:sz w:val="20"/>
          <w:szCs w:val="20"/>
        </w:rPr>
        <w:t xml:space="preserve">Dz. U. z 2025 r. poz. 779) </w:t>
      </w:r>
      <w:r w:rsidRPr="009A3ECE">
        <w:rPr>
          <w:rFonts w:ascii="Lato" w:eastAsiaTheme="minorEastAsia" w:hAnsi="Lato" w:cs="Arial"/>
          <w:sz w:val="20"/>
          <w:szCs w:val="20"/>
        </w:rPr>
        <w:t>w komórkach organizacyjnych znajdujących się w strukturze zakładu leczniczego:</w:t>
      </w:r>
    </w:p>
    <w:p w14:paraId="2DAF1E88" w14:textId="3CBF6BB1" w:rsidR="00C74196" w:rsidRPr="009A3ECE" w:rsidRDefault="00AF48EE" w:rsidP="00C74196">
      <w:pPr>
        <w:pStyle w:val="Akapitzlist"/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AF48EE">
        <w:rPr>
          <w:rFonts w:ascii="Lato" w:eastAsiaTheme="minorEastAsia" w:hAnsi="Lato" w:cs="Arial"/>
          <w:sz w:val="20"/>
          <w:szCs w:val="20"/>
        </w:rPr>
        <w:t>oraz – jeśli zasadne</w:t>
      </w:r>
    </w:p>
    <w:p w14:paraId="323312A3" w14:textId="570A89E1" w:rsidR="00C74196" w:rsidRPr="009A3ECE" w:rsidRDefault="00C74196" w:rsidP="00C74196">
      <w:pPr>
        <w:pStyle w:val="Akapitzlist"/>
        <w:numPr>
          <w:ilvl w:val="0"/>
          <w:numId w:val="34"/>
        </w:numPr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9A3ECE">
        <w:rPr>
          <w:rFonts w:ascii="Lato" w:eastAsiaTheme="minorEastAsia" w:hAnsi="Lato" w:cs="Arial"/>
          <w:sz w:val="20"/>
          <w:szCs w:val="20"/>
        </w:rPr>
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</w:r>
      <w:r w:rsidR="001B2BF6" w:rsidRPr="009A3ECE">
        <w:rPr>
          <w:rFonts w:ascii="Lato" w:eastAsiaTheme="minorEastAsia" w:hAnsi="Lato" w:cs="Arial"/>
          <w:sz w:val="20"/>
          <w:szCs w:val="20"/>
        </w:rPr>
        <w:t xml:space="preserve"> </w:t>
      </w:r>
      <w:r w:rsidRPr="009A3ECE">
        <w:rPr>
          <w:rFonts w:ascii="Lato" w:eastAsiaTheme="minorEastAsia" w:hAnsi="Lato" w:cs="Arial"/>
          <w:sz w:val="20"/>
          <w:szCs w:val="20"/>
        </w:rPr>
        <w:t>402) niezbędnych do sprawowania opieki kardiologicznej w rozumieniu ustawy z dn. 4 czerwca 2025 r. o Krajowej Sieci Kardiologicznej  w komórkach organizacyjnych znajdujących się w strukturze zakładu leczniczego;</w:t>
      </w:r>
    </w:p>
    <w:p w14:paraId="706C3A4B" w14:textId="15048A7B" w:rsidR="00695399" w:rsidRPr="00F204B6" w:rsidRDefault="00695399" w:rsidP="00695399">
      <w:pPr>
        <w:spacing w:after="0" w:line="360" w:lineRule="auto"/>
        <w:ind w:left="708"/>
        <w:contextualSpacing/>
        <w:rPr>
          <w:rStyle w:val="normaltextrun"/>
          <w:rFonts w:ascii="Lato" w:hAnsi="Lato" w:cs="Arial"/>
          <w:sz w:val="20"/>
          <w:szCs w:val="20"/>
        </w:rPr>
      </w:pPr>
      <w:bookmarkStart w:id="5" w:name="_Hlk175818793"/>
      <w:r w:rsidRPr="009A3ECE">
        <w:rPr>
          <w:rFonts w:ascii="Lato" w:eastAsiaTheme="minorEastAsia" w:hAnsi="Lato" w:cs="Arial"/>
          <w:sz w:val="20"/>
          <w:szCs w:val="20"/>
          <w:lang w:eastAsia="pl-PL"/>
        </w:rPr>
        <w:t>p) jest związany ze wsparciem zmian jakościowych w funkcjonowaniu szpitali poprzez realizację niezbędnych działań infrastrukturalnych (poprzez poprawę standardów dostępności w tym także dostosowania do potrzeb osób z niepełnosprawnościami</w:t>
      </w:r>
      <w:r w:rsidRPr="009A3ECE">
        <w:rPr>
          <w:rFonts w:ascii="Lato" w:hAnsi="Lato" w:cs="Arial"/>
          <w:sz w:val="20"/>
          <w:szCs w:val="20"/>
        </w:rPr>
        <w:t>, tworzenie stref pacjenta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>).</w:t>
      </w:r>
      <w:bookmarkEnd w:id="5"/>
    </w:p>
    <w:p w14:paraId="7798FA92" w14:textId="438B4B28" w:rsidR="001F3207" w:rsidRPr="00F204B6" w:rsidRDefault="003A2E7A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ramach przedsięwzięcia, poza rozliczeniem wydatków za pomocą dokumentów księgowych i innych dokumentów finansowych - możliwe jest rozliczenie za pomocą uproszczonych metod rozliczania wydatków.</w:t>
      </w: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Koszty rozliczane uproszczoną metodą rozliczania wydatków są traktowane jak wydatki faktycznie poniesione. Nie ma obowiązku gromadzenia faktur i innych dokumentów księgowych o równoważnej wartości dowodowej na potwierdzenie poniesienia wydatku 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>rozliczan</w:t>
      </w:r>
      <w:r w:rsidR="00025990">
        <w:rPr>
          <w:rStyle w:val="normaltextrun"/>
          <w:rFonts w:ascii="Lato" w:hAnsi="Lato" w:cstheme="minorHAnsi"/>
          <w:sz w:val="20"/>
          <w:szCs w:val="20"/>
        </w:rPr>
        <w:t>ego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 xml:space="preserve"> uproszczoną metodą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w ramach przedsięwzięcia.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Zakazane jest podwójne finansowanie wydatków, w szczególności kosztów zaangażowania personelu. W ramach przedmiotowego naboru, rozliczanie kosztów metodą uproszczoną, ma zastosowanie tylko do kosztów pośrednich, o których mowa w części B.</w:t>
      </w:r>
      <w:r w:rsidR="00B7270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KOSZTY POŚREDNIE, za pomocą stawki ryczałtowej,</w:t>
      </w:r>
      <w:r w:rsidR="00D6566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stanowią określoną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we wniosku o objęcie przedsięwzięcia wsparciem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wartość procentową, obliczaną na podstawie rzeczywiście poniesionych wydatków kwalifikowalnych bezpośrednich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  <w:r w:rsidR="00EC0A20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w wysokości nieprzekraczającej 5% wartości kosztów bezpośrednich</w:t>
      </w:r>
      <w:r w:rsidR="009A3ECE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.</w:t>
      </w:r>
    </w:p>
    <w:p w14:paraId="1B040D7A" w14:textId="280F1608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6" w:name="_Toc107473357"/>
      <w:r w:rsidRPr="00F204B6">
        <w:rPr>
          <w:rFonts w:ascii="Lato" w:hAnsi="Lato" w:cstheme="minorHAnsi"/>
          <w:i w:val="0"/>
          <w:sz w:val="20"/>
          <w:szCs w:val="20"/>
        </w:rPr>
        <w:t>Ramy czasowe kwalifikowalności</w:t>
      </w:r>
      <w:bookmarkEnd w:id="6"/>
    </w:p>
    <w:p w14:paraId="35026178" w14:textId="460286EE" w:rsidR="00101F16" w:rsidRDefault="00101F16" w:rsidP="00101F16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Fonts w:ascii="Lato" w:eastAsia="Calibri" w:hAnsi="Lato" w:cs="Arial"/>
          <w:sz w:val="20"/>
          <w:szCs w:val="20"/>
        </w:rPr>
      </w:pPr>
      <w:bookmarkStart w:id="7" w:name="_Ref178774230"/>
      <w:r w:rsidRPr="009A3ECE">
        <w:rPr>
          <w:rFonts w:ascii="Lato" w:eastAsia="Calibri" w:hAnsi="Lato" w:cs="Arial"/>
          <w:sz w:val="20"/>
          <w:szCs w:val="20"/>
        </w:rPr>
        <w:t>Początkiem okresu kwalifikowania wydatków jest dzień następujący po dniu ogłoszeni</w:t>
      </w:r>
      <w:r w:rsidR="00FE400D">
        <w:rPr>
          <w:rFonts w:ascii="Lato" w:eastAsia="Calibri" w:hAnsi="Lato" w:cs="Arial"/>
          <w:sz w:val="20"/>
          <w:szCs w:val="20"/>
        </w:rPr>
        <w:t>a Wykazu</w:t>
      </w:r>
      <w:r w:rsidR="00EC5D3A" w:rsidRPr="009A3ECE">
        <w:rPr>
          <w:rFonts w:ascii="Lato" w:eastAsia="Calibri" w:hAnsi="Lato" w:cs="Arial"/>
          <w:sz w:val="20"/>
          <w:szCs w:val="20"/>
        </w:rPr>
        <w:t xml:space="preserve"> i dotyczy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, zgodnie z art. </w:t>
      </w:r>
      <w:r w:rsidR="00FA0583" w:rsidRPr="009A3ECE">
        <w:rPr>
          <w:rFonts w:ascii="Lato" w:eastAsia="Calibri" w:hAnsi="Lato" w:cs="Arial"/>
          <w:sz w:val="20"/>
          <w:szCs w:val="20"/>
        </w:rPr>
        <w:t xml:space="preserve">13 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ust. </w:t>
      </w:r>
      <w:r w:rsidR="00FA0583" w:rsidRPr="009A3ECE">
        <w:rPr>
          <w:rFonts w:ascii="Lato" w:eastAsia="Calibri" w:hAnsi="Lato" w:cs="Arial"/>
          <w:sz w:val="20"/>
          <w:szCs w:val="20"/>
        </w:rPr>
        <w:t xml:space="preserve">3 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ustawy o Krajowej Sieci </w:t>
      </w:r>
      <w:r w:rsidR="00FA0583" w:rsidRPr="009A3ECE">
        <w:rPr>
          <w:rFonts w:ascii="Lato" w:eastAsia="Calibri" w:hAnsi="Lato" w:cs="Arial"/>
          <w:sz w:val="20"/>
          <w:szCs w:val="20"/>
        </w:rPr>
        <w:t>Kardiologicznej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, </w:t>
      </w:r>
      <w:r w:rsidRPr="009A3ECE">
        <w:rPr>
          <w:rFonts w:ascii="Lato" w:eastAsia="Calibri" w:hAnsi="Lato" w:cs="Arial"/>
          <w:sz w:val="20"/>
          <w:szCs w:val="20"/>
        </w:rPr>
        <w:t>wykazu szpitali, w którym Wnioskodawca został zakwalifikowany na dany poziom</w:t>
      </w:r>
      <w:r w:rsidR="00C74196" w:rsidRPr="009A3ECE">
        <w:rPr>
          <w:rFonts w:ascii="Lato" w:eastAsia="Calibri" w:hAnsi="Lato" w:cs="Arial"/>
          <w:sz w:val="20"/>
          <w:szCs w:val="20"/>
        </w:rPr>
        <w:t xml:space="preserve"> zabezpieczenia opieki kardiologicznej Krajowej Sieci Kardiologicznej</w:t>
      </w:r>
      <w:r w:rsidRPr="009A3ECE">
        <w:rPr>
          <w:rFonts w:ascii="Lato" w:eastAsia="Calibri" w:hAnsi="Lato" w:cs="Arial"/>
          <w:sz w:val="20"/>
          <w:szCs w:val="20"/>
        </w:rPr>
        <w:t>. Końcową</w:t>
      </w:r>
      <w:r w:rsidRPr="00101F16">
        <w:rPr>
          <w:rFonts w:ascii="Lato" w:eastAsia="Calibri" w:hAnsi="Lato" w:cs="Arial"/>
          <w:sz w:val="20"/>
          <w:szCs w:val="20"/>
        </w:rPr>
        <w:t xml:space="preserve"> datą kwalifikowalności wydatków jest termin </w:t>
      </w:r>
      <w:r w:rsidR="00FE400D" w:rsidRPr="00877321">
        <w:rPr>
          <w:rFonts w:ascii="Lato" w:hAnsi="Lato" w:cs="Times New Roman"/>
          <w:sz w:val="20"/>
          <w:szCs w:val="20"/>
        </w:rPr>
        <w:t>określony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</w:t>
      </w:r>
      <w:r w:rsidR="00FE400D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umowie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o</w:t>
      </w:r>
      <w:r w:rsidR="00FE400D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objęcie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wsparciem,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>
        <w:rPr>
          <w:rFonts w:ascii="Lato" w:hAnsi="Lato" w:cs="Times New Roman"/>
          <w:sz w:val="20"/>
          <w:szCs w:val="20"/>
        </w:rPr>
        <w:t>przypadający nie później</w:t>
      </w:r>
      <w:r w:rsidR="00FE400D">
        <w:rPr>
          <w:rFonts w:ascii="Lato" w:eastAsia="Calibri" w:hAnsi="Lato" w:cs="Arial"/>
          <w:sz w:val="20"/>
          <w:szCs w:val="20"/>
        </w:rPr>
        <w:t xml:space="preserve"> </w:t>
      </w:r>
      <w:r w:rsidRPr="00101F16">
        <w:rPr>
          <w:rFonts w:ascii="Lato" w:eastAsia="Calibri" w:hAnsi="Lato" w:cs="Arial"/>
          <w:sz w:val="20"/>
          <w:szCs w:val="20"/>
        </w:rPr>
        <w:t xml:space="preserve">niż </w:t>
      </w:r>
      <w:r w:rsidRPr="00101F16">
        <w:rPr>
          <w:rFonts w:ascii="Lato" w:eastAsia="Calibri" w:hAnsi="Lato" w:cs="Arial"/>
          <w:b/>
          <w:bCs/>
          <w:sz w:val="20"/>
          <w:szCs w:val="20"/>
        </w:rPr>
        <w:t>30 czerwca 2026 r.</w:t>
      </w:r>
      <w:bookmarkEnd w:id="7"/>
    </w:p>
    <w:p w14:paraId="37D9348D" w14:textId="241CF845" w:rsidR="00101F16" w:rsidRPr="00101F16" w:rsidRDefault="00101F16" w:rsidP="00FD193F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101F16">
        <w:rPr>
          <w:rFonts w:ascii="Lato" w:eastAsia="Calibri" w:hAnsi="Lato" w:cs="Arial"/>
          <w:sz w:val="20"/>
          <w:szCs w:val="20"/>
        </w:rPr>
        <w:t xml:space="preserve">Wydatki już poniesione przez wnioskodawcę po terminie </w:t>
      </w:r>
      <w:r w:rsidR="00631B8C">
        <w:rPr>
          <w:rFonts w:ascii="Lato" w:eastAsia="Calibri" w:hAnsi="Lato" w:cs="Arial"/>
          <w:sz w:val="20"/>
          <w:szCs w:val="20"/>
        </w:rPr>
        <w:t xml:space="preserve">początkowej daty kwalifikowalności, </w:t>
      </w:r>
      <w:r w:rsidRPr="00101F16">
        <w:rPr>
          <w:rFonts w:ascii="Lato" w:eastAsia="Calibri" w:hAnsi="Lato" w:cs="Arial"/>
          <w:sz w:val="20"/>
          <w:szCs w:val="20"/>
        </w:rPr>
        <w:t xml:space="preserve">wskazanym w </w:t>
      </w:r>
      <w:r>
        <w:rPr>
          <w:rFonts w:ascii="Lato" w:eastAsia="Calibri" w:hAnsi="Lato" w:cs="Arial"/>
          <w:sz w:val="20"/>
          <w:szCs w:val="20"/>
        </w:rPr>
        <w:t>pkt 1)</w:t>
      </w:r>
      <w:r w:rsidRPr="00101F16">
        <w:rPr>
          <w:rFonts w:ascii="Lato" w:eastAsia="Calibri" w:hAnsi="Lato" w:cs="Arial"/>
          <w:sz w:val="20"/>
          <w:szCs w:val="20"/>
        </w:rPr>
        <w:t xml:space="preserve"> mogą zostać uznane za kwalifikowalne tylko w przypadku, gdy </w:t>
      </w:r>
      <w:r w:rsidR="00FE400D">
        <w:rPr>
          <w:rFonts w:ascii="Lato" w:eastAsia="Calibri" w:hAnsi="Lato" w:cs="Arial"/>
          <w:sz w:val="20"/>
          <w:szCs w:val="20"/>
        </w:rPr>
        <w:t xml:space="preserve">są to wydatki </w:t>
      </w:r>
      <w:r w:rsidR="00FE400D">
        <w:rPr>
          <w:rFonts w:ascii="Lato" w:hAnsi="Lato" w:cs="Times New Roman"/>
          <w:sz w:val="20"/>
          <w:szCs w:val="20"/>
        </w:rPr>
        <w:t>sfinansowane ze środków własnych wnioskodawcy</w:t>
      </w:r>
      <w:r w:rsidR="00FE400D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lub</w:t>
      </w:r>
      <w:r w:rsidR="00FE400D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zaciągnięt</w:t>
      </w:r>
      <w:r w:rsidR="00FE400D">
        <w:rPr>
          <w:rFonts w:ascii="Lato" w:hAnsi="Lato" w:cs="Times New Roman"/>
          <w:sz w:val="20"/>
          <w:szCs w:val="20"/>
        </w:rPr>
        <w:t>ych</w:t>
      </w:r>
      <w:r w:rsidR="00FE400D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zobowiąza</w:t>
      </w:r>
      <w:r w:rsidR="00FE400D">
        <w:rPr>
          <w:rFonts w:ascii="Lato" w:hAnsi="Lato" w:cs="Times New Roman"/>
          <w:sz w:val="20"/>
          <w:szCs w:val="20"/>
        </w:rPr>
        <w:t>ń</w:t>
      </w:r>
      <w:r w:rsidR="00FE400D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 postaci</w:t>
      </w:r>
      <w:r w:rsidR="00FE400D"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kredytu lub</w:t>
      </w:r>
      <w:r w:rsidR="00FE400D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pożyczki</w:t>
      </w:r>
      <w:r w:rsidR="00A864E3">
        <w:rPr>
          <w:rFonts w:ascii="Lato" w:hAnsi="Lato" w:cs="Times New Roman"/>
          <w:sz w:val="20"/>
          <w:szCs w:val="20"/>
        </w:rPr>
        <w:t>.</w:t>
      </w:r>
    </w:p>
    <w:p w14:paraId="749591DE" w14:textId="67A41D15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8" w:name="_Toc107473359"/>
      <w:r w:rsidRPr="00F204B6">
        <w:rPr>
          <w:rFonts w:ascii="Lato" w:hAnsi="Lato" w:cstheme="minorHAnsi"/>
          <w:i w:val="0"/>
          <w:sz w:val="20"/>
          <w:szCs w:val="20"/>
        </w:rPr>
        <w:lastRenderedPageBreak/>
        <w:t>Wydatki niekwalifikowalne</w:t>
      </w:r>
      <w:bookmarkEnd w:id="8"/>
    </w:p>
    <w:p w14:paraId="32F22914" w14:textId="0670F862" w:rsidR="00333E81" w:rsidRPr="00F204B6" w:rsidRDefault="00333E81" w:rsidP="004B0F33">
      <w:pPr>
        <w:pStyle w:val="Akapitzlist"/>
        <w:numPr>
          <w:ilvl w:val="0"/>
          <w:numId w:val="6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Następujące wydatki są niekwalifikowalne:</w:t>
      </w:r>
    </w:p>
    <w:p w14:paraId="5A8D4EB9" w14:textId="0F4E762E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podatek od towarów i usług (VAT),</w:t>
      </w:r>
    </w:p>
    <w:p w14:paraId="0F1EA0BC" w14:textId="75F53208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prowizje pobierane w ramach operacji wymiany walut,</w:t>
      </w:r>
    </w:p>
    <w:p w14:paraId="68A499EE" w14:textId="13E8B5BD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odsetki od zadłużenia, z wyjątkiem wydatków ponoszonych na subsydiowanie odsetek lub na dotacje na opłaty gwarancyjne w przypadku udzielania wsparcia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3CFD0BD" w14:textId="1D612461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pożyczki lub kredytu zaciągniętego na prefinansowanie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przedsięwzięcia,</w:t>
      </w:r>
    </w:p>
    <w:p w14:paraId="2687ADBD" w14:textId="620DB4B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kary i grzywny,</w:t>
      </w:r>
    </w:p>
    <w:p w14:paraId="13E290EB" w14:textId="61F47FF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świadczenia realizowane ze środków Zakładowego Funduszu Świadczeń Socjalnych (ZFŚS),</w:t>
      </w:r>
    </w:p>
    <w:p w14:paraId="75DE3227" w14:textId="5012BE27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odprawy emerytalno</w:t>
      </w:r>
      <w:r w:rsidR="00D43A1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-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rentowe personelu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FCA520E" w14:textId="0519A21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rozliczony notą księgową koszt zakupu środka trwałego będącego własnością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prawa przysługującego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AE5D6" w14:textId="339B9F8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wpłaty na Państwowy Fundusz Rehabilitacji Osób Niepełnosprawnych (PFRON),</w:t>
      </w:r>
    </w:p>
    <w:p w14:paraId="3F2B4547" w14:textId="2AAE1A76" w:rsidR="00333E81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postępowania sądowego, wydatki związane z przygotowaniem i obsługą prawną spraw sądowych oraz wydatki poniesione na funkcjonowanie komisji rozjemczych, </w:t>
      </w:r>
    </w:p>
    <w:p w14:paraId="26B173AC" w14:textId="006BDDA5" w:rsidR="00503C3E" w:rsidRPr="00F204B6" w:rsidRDefault="00A926E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inne niż część kapitałowa raty leasingowej wydatki związane z umową leasingu, w szczególności marża finansującego,</w:t>
      </w:r>
    </w:p>
    <w:p w14:paraId="67D8745E" w14:textId="04AC6CC2" w:rsidR="00807A44" w:rsidRPr="00F204B6" w:rsidRDefault="00A926E1" w:rsidP="00EA1F7A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odsetki od refinansowania kosztów, </w:t>
      </w:r>
    </w:p>
    <w:p w14:paraId="36089AFA" w14:textId="6CD776D5" w:rsidR="00A926E1" w:rsidRPr="00042A43" w:rsidRDefault="004C4A87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 i inne koszty związane z 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lokal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mieszkalny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mi, </w:t>
      </w:r>
    </w:p>
    <w:p w14:paraId="585F3992" w14:textId="0C6AB8EA" w:rsidR="00A926E1" w:rsidRPr="00F204B6" w:rsidRDefault="00C21078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transakcje dokonane</w:t>
      </w:r>
      <w:r w:rsidR="008D4847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gotówce - 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bez względu na liczbę wynikających z nich płatności, których wartość przekracza kwotę, o której mowa w art. 19 ustawy z dnia 6 marca 2018 r. Prawo przedsiębiorców (Dz. U. z 20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r. poz. </w:t>
      </w:r>
      <w:r w:rsidR="00F84E2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36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3577C36" w14:textId="0AE80826" w:rsidR="000058A7" w:rsidRPr="00042A43" w:rsidRDefault="00934E73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 nieruchomości</w:t>
      </w:r>
      <w:r w:rsidR="009A3ECE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30BD31F6" w14:textId="67982BA9" w:rsidR="00FA0583" w:rsidRDefault="000058A7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wynagrodzenia finansowane z kosztów bezpośrednich przedsięwzięcia wraz ze składnikami płacowymi i pozapłacowymi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82B9CA2" w14:textId="56E150C3" w:rsidR="00FA0583" w:rsidRPr="00FA0583" w:rsidRDefault="00FA0583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opłata za z</w:t>
      </w:r>
      <w:r w:rsidRP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łożenie wniosku o wydanie Opinii o Celowości Inwestycji.</w:t>
      </w:r>
    </w:p>
    <w:p w14:paraId="425140B4" w14:textId="77777777" w:rsidR="00745343" w:rsidRPr="00F204B6" w:rsidRDefault="00745343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Niedozwolone jest podwójne finansowanie wydatków. Przykłady tego rodzaju wydatków:</w:t>
      </w:r>
    </w:p>
    <w:p w14:paraId="422C0478" w14:textId="68FFC741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więcej niż jednokrotne przedstawienie do rozliczenia tego samego wydatku albo tej samej części wydatku ze środków UE w jakiejkolwiek formie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2DB44996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rozliczenie zakupu używanego środka trwałego, który był uprzednio współfinansowany z udziałem środków UE,</w:t>
      </w:r>
    </w:p>
    <w:p w14:paraId="7877B8BC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rozliczenie kosztów amortyzacji środka trwałego uprzednio zakupionego z udziałem środków UE,</w:t>
      </w:r>
    </w:p>
    <w:p w14:paraId="23F6FBCF" w14:textId="40FBEA49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rozliczenie wydatku poniesionego przez leasingodawcę na zakup przedmiotu leasingu w ramach leasingu finansowego, a następnie rozliczenie rat opłacanych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przez OOW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związku z leasingiem tego przedmiotu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ze środków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unijnych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527033F" w14:textId="2690E52E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kosztów kwalifikowalnych jednocześnie wsparciem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udzielonym z udziałem środków unijnych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formie pożyczki i gwarancji/poręczenia,</w:t>
      </w:r>
    </w:p>
    <w:p w14:paraId="54B479ED" w14:textId="3A638EDD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otrzymanie na wydatki kwalifikowalne danego przedsięwzięcia lub jego części </w:t>
      </w:r>
      <w:r w:rsidR="00A864E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 środków unijnych</w:t>
      </w:r>
      <w:r w:rsid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7E07E8" w:rsidRP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środków budżetu państwa, Narodowego Funduszu Zdrowia lub Funduszu Medycznego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wysokości łącznie wyższej niż 100% wydatków kwalifikowalnych przedsięwzięcia lub części.</w:t>
      </w:r>
    </w:p>
    <w:p w14:paraId="146C4391" w14:textId="7C330720" w:rsidR="00635620" w:rsidRPr="00F204B6" w:rsidRDefault="00A926E1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9" w:name="_Toc107473360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Wydatki uznane za niekwalifikowalne, a związane z realizacją </w:t>
      </w:r>
      <w:r w:rsidR="005A7FF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ponosi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jako strona umowy o</w:t>
      </w:r>
      <w:r w:rsidR="00A078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 przedsięwzięcia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909D993" w14:textId="7BA032AB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faktycznego poniesienia wydatku</w:t>
      </w:r>
      <w:bookmarkEnd w:id="9"/>
    </w:p>
    <w:p w14:paraId="6C1F3663" w14:textId="41647767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zastrzeżeniem szczegółowych warunków i procedur ponoszenia wydatków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określonych przez 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lub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do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finansowania kwalifikuje się wydatek, który został faktycznie poniesiony przez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10CBB34" w14:textId="2028756B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 pojęciem wydatku faktycznie poniesionego należy rozumieć wydatek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w znaczeniu kasowym, tj. jako rozchód środków pieniężnych z kasy lub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rachunku płatniczego (obciążenie rachunku płatniczego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 kwotą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transakcji). </w:t>
      </w:r>
    </w:p>
    <w:p w14:paraId="7EDCD8ED" w14:textId="28C96CD5" w:rsidR="00635620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kwalifikowalne mogą być uznane zaliczki (na określony cel) wypłacone wykonawcy zgodnie z postanowieniami umowy w sprawie realizacji zamówienia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Jeśli element objęty zaliczką nie jest w ramach tego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kwalifikowalny lub nie zostanie faktycznie wykonany w okresie kwalifikowalności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zaliczka przestaje być wydatkiem kwalifikowalnym.</w:t>
      </w:r>
    </w:p>
    <w:p w14:paraId="671C3D45" w14:textId="47A99CAF" w:rsidR="00AD2D66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Co do zasady, za kwalifikowalne uznawane są wydatki ponoszone przez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F6642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na rzecz wykonawcy będącego stroną umowy w sprawie realizacji zamówienia w ramach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zawartej 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Wydatki ponoszone przez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na rzecz innych podmiotów uczestniczących w realizacji tej umowy, w tym podwykonawców, mogą zostać uznane za kwalifikowalne w następujących przypadkach:</w:t>
      </w:r>
    </w:p>
    <w:p w14:paraId="3F76D501" w14:textId="6817DFE3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dokonania przez wykonawcę cesji wierzytelności, wydatki poniesione przez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zamawiającego) na rachunek płatniczy cesjonariusza mogą być uznane za kwalifikowalne, jeśli zostaną poniesione zgodnie z pozostałymi wymogami dotyczącymi kwalifikowania wydatków, pod warunkiem dokonania cesji zgodnie z prawem, w tym zgodnie z ustawą Kodeks cywilny,</w:t>
      </w:r>
    </w:p>
    <w:p w14:paraId="5E3F1988" w14:textId="67760B65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przypadku, gdy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CC08D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dokonuje płatności bezpośrednio na rzecz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podwykonawcy, zgodnie z art. 647¹ ustawy Kodeks cywilny lub na podstawie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innych ustaw, wydatki dokonane w tym trybie mogą być uznane za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kwalifikowalne, jeżeli zostały dokonane z zachowaniem pozostałych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obowiązujących zasad i zgodnie z pozostałymi warunkami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kwalifikowalności wydatków oraz jeśli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dokonał dwukrotnej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płatności za ten sam zakres wykonanych robót,</w:t>
      </w:r>
    </w:p>
    <w:p w14:paraId="5611B3A4" w14:textId="1D36A6B4" w:rsidR="00417C8D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w przypadku zajęcia płatności na rzecz wykonawcy przez komornika wydatek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na rachunek płatniczy wskazany przez komornika może być uznany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kwalifikowalny, jeżeli został poniesiony zgodnie z pozostałymi warunkami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dotyczącymi kwalifikowania wydatków.</w:t>
      </w:r>
    </w:p>
    <w:p w14:paraId="7502A1BB" w14:textId="117698F7" w:rsidR="00AD2D66" w:rsidRPr="00F204B6" w:rsidRDefault="00AD2D66" w:rsidP="003056A9">
      <w:pPr>
        <w:pStyle w:val="Akapitzlist"/>
        <w:spacing w:after="120" w:line="360" w:lineRule="auto"/>
        <w:ind w:left="726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płatności dokonywanych z wykorzystaniem instytucji przekazu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uregulowanej w art. 921</w:t>
      </w:r>
      <w:r w:rsidR="00A053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nast. ustawy Kodeks cywilny na rachunek płatniczy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podmiotu innego niż podmiot będący stroną umowy </w:t>
      </w:r>
      <w:r w:rsidR="00015C8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 OOW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lub wskazanego w umowie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sprawie realizacji zamówienia zawartej 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może być uznany za kwalifikowalny pod warunkiem zapewnienia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zgodności z przepisami prawa, z pozostałymi wymogami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kwalifikowania wydatków (w tym z uwzględnieniem obowiązków w zakresie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dokumentowania wydatków, jak np. zapewnienie właściwej ścieżki audytu).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Uznanie za kwalifikowalny wydatku poniesionego w związku z zastosowaniem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„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przekazu w kredyt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może mieć jedynie charakter wyjątkowy, uzasadniony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nadzwyczajnymi okolicznościami wynikającymi ze specyficznych warunków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realizacji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wymaga wyrażenia zgody przez </w:t>
      </w:r>
      <w:r w:rsidR="007630C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IK KPO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72A6B6CE" w14:textId="6EC20D3D" w:rsidR="00635620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Dowodem poniesienia wydatku jest zapłacona faktura, inny dokument księgowy o równoważnej wartości dowodowej</w:t>
      </w:r>
      <w:r w:rsidRPr="00F204B6">
        <w:rPr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wraz z odpowiednim dokumentem potwierdzającym dokonanie płatności.</w:t>
      </w:r>
    </w:p>
    <w:p w14:paraId="008A8415" w14:textId="4CF3AD13" w:rsidR="00CD2072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datę poniesienia wydatku przyjmuje się:</w:t>
      </w:r>
    </w:p>
    <w:p w14:paraId="5CF9B9B2" w14:textId="030E3989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wydatków pieniężnych:</w:t>
      </w:r>
    </w:p>
    <w:p w14:paraId="3C1EF499" w14:textId="690C7541" w:rsidR="003056A9" w:rsidRPr="00F204B6" w:rsidRDefault="003056A9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dokonanych przelewem lub obciążeniową kartą płatniczą – datę obciążenia rachunku płatniczego, tj. datę księgowania operacji, </w:t>
      </w:r>
    </w:p>
    <w:p w14:paraId="4E055325" w14:textId="631BC9F0" w:rsidR="00CD2072" w:rsidRPr="00F204B6" w:rsidRDefault="00CD2072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kartą kredytową lub podobnym instrumentem płatniczym o odroczonej płatności – datę transakcji skutkującej obciążeniem rachunku karty kredytowej lub podobnego instrumentu,</w:t>
      </w:r>
    </w:p>
    <w:p w14:paraId="16B92187" w14:textId="747F9952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gotówką – datę faktycznego dokonania płatności,</w:t>
      </w:r>
    </w:p>
    <w:p w14:paraId="7BE12D78" w14:textId="3E46D981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potrącenia – datę, w której potrącenie staje się możliwe zgodnie z art. 499 ustawy Kodeks cywilny,</w:t>
      </w:r>
    </w:p>
    <w:p w14:paraId="23D0A691" w14:textId="031E6366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depozytu sądowego – datę faktycznego wniesienia depozytu do sądu,</w:t>
      </w:r>
    </w:p>
    <w:p w14:paraId="1692BFD3" w14:textId="3BE5FA70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rozliczeń na podstawie noty księgowej – datę zaksięgowania noty.</w:t>
      </w:r>
    </w:p>
    <w:p w14:paraId="79EF3F47" w14:textId="7DC5DFA7" w:rsidR="00E322F8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Warunki i procedury dokumentowania wydatków, o których mowa w pkt 2, oraz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innych rodzajów wydatków, o których nie ma mowy w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niniejszym dokumencie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a które 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zostaną poniesione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związku z realizowanymi w ramach 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określa 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dokumentacji aplikacyjnej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D245A02" w14:textId="77777777" w:rsidR="007C177B" w:rsidRPr="00F204B6" w:rsidRDefault="007C177B" w:rsidP="007C177B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konkurencyjności</w:t>
      </w:r>
    </w:p>
    <w:p w14:paraId="669DD0FF" w14:textId="593C145F" w:rsidR="007C177B" w:rsidRPr="00F204B6" w:rsidRDefault="006B48C1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ma obowiązek przygotowywać i przeprowadzać postępowania o udzielenie zamówienia w sposób zapewniający zachowanie uczciwej konkurencji oraz równe traktowanie wykonawców, a także realizować działania w sposób przejrzysty i proporcjonalny. </w:t>
      </w:r>
    </w:p>
    <w:p w14:paraId="4F67B169" w14:textId="7777777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Przeprowadzenie postępowania o udzielenie zamówienia w sposób zapewniający spełnienie wymienionych powyżej wymogów następuje w drodze:</w:t>
      </w:r>
    </w:p>
    <w:p w14:paraId="580DDCC3" w14:textId="310180BE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lastRenderedPageBreak/>
        <w:t xml:space="preserve">zastosowania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ustawy z dnia 11 września 2019 r. - Prawo zamówień publicznych (dalej: „ustawa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”), w przypadku, gdy wymóg jej stosowania wynika z ustawy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hAnsi="Lato" w:cstheme="minorHAnsi"/>
          <w:sz w:val="20"/>
          <w:szCs w:val="20"/>
        </w:rPr>
        <w:t>, lub</w:t>
      </w:r>
    </w:p>
    <w:p w14:paraId="26DB19F4" w14:textId="77777777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uwzględnienia zasady konkurencyjności, w przypadku, gdy:</w:t>
      </w:r>
    </w:p>
    <w:p w14:paraId="3E7F7BCF" w14:textId="74CA3031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jest zobowiązany do stosowania ustawy PZP a szacunkowa wartość zamówień przekracza </w:t>
      </w:r>
      <w:r w:rsidR="005D6230" w:rsidRP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0 ty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s. </w:t>
      </w:r>
      <w:r w:rsid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</w:t>
      </w:r>
      <w:r w:rsidR="0010129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ł 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netto</w:t>
      </w:r>
      <w:r w:rsid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BBD89B1" w14:textId="4D3A1C70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jest zamawiającym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a szacunkowa wartość zamówień jest niższa niż kwoty określone w art. 2 ust. 1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a jednocześnie przekraczają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0 tys.</w:t>
      </w:r>
      <w:r w:rsidR="00293157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zł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netto.</w:t>
      </w:r>
    </w:p>
    <w:p w14:paraId="71582ECE" w14:textId="5D29B703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Podstawą obliczenia szacunkowej kwoty zamówienia jest całkowite szacunkowe wynagrodzenie wykonawcy, bez podatku od towarów i usług, ustalone z należytą starannością i udokumentowane w sposób zapewniający właściwą ścieżkę audytu, z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tym,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że podmioty będące zamawiającymi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pierwszej kolejności dokonują szacowania wartości zamówienia zgodnie z przepisami tej ustawy. Nie jest dopuszczalne zaniżanie wartości szacunkowej zamówienia lub jego podział skutkujący zaniżeniem jego wartości szacunkowej. Szacowanie jest dokumentowane w sposób zapewniający właściwą ścieżkę audytu</w:t>
      </w:r>
      <w:r w:rsidR="001000A7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5F087711" w14:textId="209D7E9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zamieszczania zapytań ofertowych, składanie ofert, wymiany informacji między zamawiającym a wykonawcą, przekazywania dokumentów i oświadczeń  oraz komunikacji w postępowaniach przy zamówieniach, których wartość przekracza kwotę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0 000 zł netto, zgodnie z zasadą konkurencyjności, przeznaczona jest strona internetowa prowadzona przez ministra właściwego do spraw rozwoju regionalnego, tj. Baza konkurencyjności (dalej: BK 2021), dostępna pod adresem </w:t>
      </w:r>
      <w:hyperlink r:id="rId8" w:history="1"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https://bazakonkurencyjnosci.funduszeeuropejskie.gov.pl/</w:t>
        </w:r>
      </w:hyperlink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CCA61C" w14:textId="423775B8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przypadku przedsięwzięć realizowanych w ramach KPO, w celu opublikowania ogłoszenia w BK 2021, należy wpisać</w:t>
      </w:r>
      <w:r w:rsidR="00287312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KPOD.07.02, IP.10 - Ministerstwo Zdrowia – KP</w:t>
      </w:r>
      <w:r w:rsidR="00287312" w:rsidRPr="00287312">
        <w:rPr>
          <w:rFonts w:ascii="Lato" w:eastAsiaTheme="majorEastAsia" w:hAnsi="Lato" w:cstheme="minorHAnsi"/>
          <w:iCs/>
          <w:kern w:val="32"/>
          <w:sz w:val="20"/>
          <w:szCs w:val="20"/>
        </w:rPr>
        <w:t>O</w:t>
      </w:r>
      <w:r w:rsidRPr="00287312">
        <w:rPr>
          <w:rFonts w:ascii="Lato" w:eastAsiaTheme="majorEastAsia" w:hAnsi="Lato" w:cstheme="minorHAnsi"/>
          <w:iCs/>
          <w:kern w:val="32"/>
          <w:sz w:val="20"/>
          <w:szCs w:val="20"/>
        </w:rPr>
        <w:t>, 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tytule naboru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- właściwy numer i tytuł swojego projektu, przydzielony w systemie CST2021. </w:t>
      </w:r>
    </w:p>
    <w:p w14:paraId="600D5F54" w14:textId="1895DA05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Jeżeli w wyniku prawidłowego zastosowania zasady konkurencyjności nie wpłynęła żadna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oferta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zmienione.</w:t>
      </w:r>
    </w:p>
    <w:p w14:paraId="7C0F0D94" w14:textId="2D7D7283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zamówień o wartości mniejszej bądź równej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tys. </w:t>
      </w:r>
      <w:r w:rsidR="00042A43">
        <w:rPr>
          <w:rFonts w:ascii="Lato" w:eastAsiaTheme="majorEastAsia" w:hAnsi="Lato" w:cstheme="minorHAnsi"/>
          <w:iCs/>
          <w:kern w:val="32"/>
          <w:sz w:val="20"/>
          <w:szCs w:val="20"/>
        </w:rPr>
        <w:t>zł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netto,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dokonuje rozeznania rynku, w celu potwierdzenie, że dana usługa, dostawa lub robota budowlana zosta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wykonana po cenie rynkowej. W celu potwierdzenia przeprowadzenia rozeznania rynku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dokumentuje, np. dokonanie analizy cenników potencjalnych wykonawców zamówienia, publikację opisu przedmiotu zamówienia wraz z zapytaniem o cenę na stronie internetowej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skierowanie zapytań o cenę wraz z opisem przedmiotu zamówienia do potencjalnych wykonawców.</w:t>
      </w:r>
    </w:p>
    <w:p w14:paraId="6888CE77" w14:textId="3B5806A6" w:rsidR="007C177B" w:rsidRPr="009A3ECE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Zasady konkurencyjności, w tym rozeznania rynku nie stosuje się do kosztów pośrednich, o których mowa w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Rozdziale 2 część B poniżej. </w:t>
      </w:r>
    </w:p>
    <w:p w14:paraId="2DE7AE1E" w14:textId="11DD5217" w:rsidR="00E322F8" w:rsidRPr="009A3ECE" w:rsidRDefault="00182594" w:rsidP="00AE6B06">
      <w:pPr>
        <w:pStyle w:val="Nagwek2"/>
        <w:spacing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9A3ECE">
        <w:rPr>
          <w:rFonts w:ascii="Lato" w:eastAsia="Times New Roman" w:hAnsi="Lato" w:cstheme="minorHAnsi"/>
          <w:i w:val="0"/>
          <w:sz w:val="20"/>
          <w:szCs w:val="20"/>
          <w:lang w:eastAsia="pl-PL"/>
        </w:rPr>
        <w:lastRenderedPageBreak/>
        <w:t xml:space="preserve">Rozdział 2 </w:t>
      </w:r>
      <w:r w:rsidR="00E322F8" w:rsidRPr="009A3ECE">
        <w:rPr>
          <w:rFonts w:ascii="Lato" w:eastAsia="Times New Roman" w:hAnsi="Lato" w:cstheme="minorHAnsi"/>
          <w:i w:val="0"/>
          <w:sz w:val="20"/>
          <w:szCs w:val="20"/>
          <w:lang w:eastAsia="pl-PL"/>
        </w:rPr>
        <w:t>Szczegółowe zasady kwalifikowalności wydatków</w:t>
      </w:r>
    </w:p>
    <w:p w14:paraId="18F3C831" w14:textId="0DD6E4A5" w:rsidR="00C74196" w:rsidRPr="009A3ECE" w:rsidRDefault="00A91C36" w:rsidP="00C74196">
      <w:pPr>
        <w:pStyle w:val="Akapitzlist"/>
        <w:widowControl w:val="0"/>
        <w:tabs>
          <w:tab w:val="left" w:pos="514"/>
        </w:tabs>
        <w:autoSpaceDE w:val="0"/>
        <w:autoSpaceDN w:val="0"/>
        <w:spacing w:before="239" w:after="0" w:line="360" w:lineRule="auto"/>
        <w:ind w:left="514" w:right="290"/>
        <w:contextualSpacing w:val="0"/>
        <w:rPr>
          <w:rFonts w:ascii="Lato" w:eastAsiaTheme="minorEastAsia" w:hAnsi="Lato" w:cs="Arial"/>
          <w:sz w:val="20"/>
          <w:szCs w:val="20"/>
          <w:lang w:eastAsia="pl-PL"/>
        </w:rPr>
      </w:pP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Poniższe r</w:t>
      </w:r>
      <w:r w:rsidR="00B9631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egulacje obowiązują dla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przedsięwzięć </w:t>
      </w:r>
      <w:r w:rsidR="00C8455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mających na celu </w:t>
      </w:r>
      <w:r w:rsidR="00EF3ED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dostępu oraz jakości</w:t>
      </w:r>
      <w:r w:rsidR="009B450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opieki </w:t>
      </w:r>
      <w:r w:rsidR="006557F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9B450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poprzez</w:t>
      </w:r>
      <w:r w:rsidR="00247F86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E434A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działania polegające na rozwoju i modernizacji infrastruktury szpitali</w:t>
      </w:r>
      <w:r w:rsidR="00C74196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>zakwalifikowanych na drugi lub trzeci poziom zabezpieczenia opieki kardiologicznej</w:t>
      </w:r>
      <w:r w:rsidR="00C74196" w:rsidRPr="009A3ECE">
        <w:rPr>
          <w:rFonts w:ascii="Lato" w:hAnsi="Lato" w:cs="Times New Roman"/>
          <w:sz w:val="20"/>
          <w:szCs w:val="20"/>
        </w:rPr>
        <w:t xml:space="preserve"> Krajowej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Sieci Kardiologicznej,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które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wpisują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 xml:space="preserve">się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w</w:t>
      </w:r>
      <w:r w:rsidR="00C74196" w:rsidRPr="009A3ECE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następujące</w:t>
      </w:r>
      <w:r w:rsidR="00C74196" w:rsidRPr="009A3ECE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obszary:</w:t>
      </w:r>
    </w:p>
    <w:p w14:paraId="5B53C09D" w14:textId="1E7BAE0C" w:rsidR="00C74196" w:rsidRPr="009A3ECE" w:rsidRDefault="00C74196" w:rsidP="001D3D91">
      <w:pPr>
        <w:pStyle w:val="Akapitzlist"/>
        <w:widowControl w:val="0"/>
        <w:numPr>
          <w:ilvl w:val="1"/>
          <w:numId w:val="35"/>
        </w:numPr>
        <w:tabs>
          <w:tab w:val="left" w:pos="796"/>
        </w:tabs>
        <w:autoSpaceDE w:val="0"/>
        <w:autoSpaceDN w:val="0"/>
        <w:spacing w:before="118" w:after="0" w:line="360" w:lineRule="auto"/>
        <w:ind w:left="796" w:hanging="359"/>
        <w:contextualSpacing w:val="0"/>
        <w:rPr>
          <w:rFonts w:ascii="Lato" w:hAnsi="Lato" w:cs="Times New Roman"/>
          <w:sz w:val="20"/>
          <w:szCs w:val="20"/>
        </w:rPr>
      </w:pPr>
      <w:r w:rsidRPr="009A3ECE">
        <w:rPr>
          <w:rFonts w:ascii="Lato" w:hAnsi="Lato" w:cs="Times New Roman"/>
          <w:sz w:val="20"/>
          <w:szCs w:val="20"/>
        </w:rPr>
        <w:t>zakup</w:t>
      </w:r>
      <w:r w:rsidRPr="009A3ECE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lub</w:t>
      </w:r>
      <w:r w:rsidR="003D66C7">
        <w:rPr>
          <w:rFonts w:ascii="Lato" w:hAnsi="Lato" w:cs="Times New Roman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modernizacja</w:t>
      </w:r>
      <w:r w:rsidRPr="009A3ECE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urządzeń</w:t>
      </w:r>
      <w:r w:rsidRPr="009A3ECE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5D52D9" w:rsidRPr="009A3ECE">
        <w:rPr>
          <w:rFonts w:ascii="Lato" w:hAnsi="Lato" w:cs="Times New Roman"/>
          <w:spacing w:val="-19"/>
          <w:sz w:val="20"/>
          <w:szCs w:val="20"/>
        </w:rPr>
        <w:t>lub</w:t>
      </w:r>
      <w:r w:rsidR="003D66C7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3D66C7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wyrobów</w:t>
      </w:r>
      <w:r w:rsidRPr="009A3ECE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medycznych</w:t>
      </w:r>
      <w:r w:rsidRPr="009A3ECE">
        <w:t xml:space="preserve"> </w:t>
      </w:r>
      <w:r w:rsidRPr="009A3ECE">
        <w:rPr>
          <w:rFonts w:ascii="Lato" w:hAnsi="Lato" w:cs="Times New Roman"/>
          <w:sz w:val="20"/>
          <w:szCs w:val="20"/>
        </w:rPr>
        <w:t>niezbędnych do sprawowania opieki kardiologicznej w rozumieniu ustawy z dnia 4 czerwca 2025 r. o Krajowej Sieci Kardiologicznej w komórkach organizacyjnych znajdujących się w strukturze zakładu leczniczego:</w:t>
      </w:r>
    </w:p>
    <w:p w14:paraId="37112572" w14:textId="080E482A" w:rsidR="00C74196" w:rsidRPr="009A3ECE" w:rsidRDefault="00C74196" w:rsidP="001D3D91">
      <w:pPr>
        <w:pStyle w:val="Akapitzlist"/>
        <w:tabs>
          <w:tab w:val="left" w:pos="796"/>
        </w:tabs>
        <w:spacing w:before="118" w:line="360" w:lineRule="auto"/>
        <w:ind w:left="796"/>
        <w:rPr>
          <w:rFonts w:ascii="Lato" w:hAnsi="Lato" w:cs="Times New Roman"/>
          <w:sz w:val="20"/>
          <w:szCs w:val="20"/>
        </w:rPr>
      </w:pPr>
      <w:r w:rsidRPr="009A3ECE">
        <w:rPr>
          <w:rFonts w:ascii="Lato" w:hAnsi="Lato" w:cs="Times New Roman"/>
          <w:sz w:val="20"/>
          <w:szCs w:val="20"/>
        </w:rPr>
        <w:t>lub</w:t>
      </w:r>
    </w:p>
    <w:p w14:paraId="593D9116" w14:textId="59E2F408" w:rsidR="00FF77EF" w:rsidRPr="009A3ECE" w:rsidRDefault="00C74196" w:rsidP="001D3D91">
      <w:pPr>
        <w:pStyle w:val="Akapitzlist"/>
        <w:numPr>
          <w:ilvl w:val="1"/>
          <w:numId w:val="35"/>
        </w:numPr>
        <w:spacing w:line="360" w:lineRule="auto"/>
        <w:rPr>
          <w:rFonts w:eastAsiaTheme="majorEastAsia" w:cstheme="minorHAnsi"/>
          <w:iCs/>
          <w:kern w:val="32"/>
        </w:rPr>
      </w:pPr>
      <w:r w:rsidRPr="009A3ECE">
        <w:rPr>
          <w:rFonts w:ascii="Lato" w:hAnsi="Lato" w:cs="Times New Roman"/>
          <w:sz w:val="20"/>
          <w:szCs w:val="20"/>
        </w:rPr>
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</w:r>
      <w:r w:rsidR="009A3ECE">
        <w:rPr>
          <w:rFonts w:ascii="Lato" w:hAnsi="Lato" w:cs="Times New Roman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402) niezbędnych do sprawowania opieki kardiologicznej w rozumieniu ustawy z dnia 4 czerwca 2025 r. o Krajowej Sieci Kardiologicznej  w komórkach organizacyjnych znajdujących się w strukturze zakładu leczniczego</w:t>
      </w:r>
      <w:r w:rsidR="003E062D" w:rsidRPr="009A3ECE">
        <w:rPr>
          <w:rFonts w:eastAsiaTheme="majorEastAsia" w:cstheme="minorHAnsi"/>
          <w:iCs/>
          <w:kern w:val="32"/>
        </w:rPr>
        <w:t>.</w:t>
      </w:r>
    </w:p>
    <w:p w14:paraId="6CEA1BDE" w14:textId="29F3ECD5" w:rsidR="00E434A3" w:rsidRPr="00F204B6" w:rsidRDefault="00E434A3" w:rsidP="00FF77EF">
      <w:pPr>
        <w:pStyle w:val="Akapitzlist"/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</w:p>
    <w:p w14:paraId="781E0BFD" w14:textId="66D952A4" w:rsidR="00453641" w:rsidRPr="00F204B6" w:rsidRDefault="00453641" w:rsidP="004B0F33">
      <w:pPr>
        <w:pStyle w:val="Nagwek2"/>
        <w:numPr>
          <w:ilvl w:val="0"/>
          <w:numId w:val="14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BEZPOŚREDNIE - </w:t>
      </w:r>
      <w:r w:rsidR="009D6A4B"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bezpośrednio związane z realizacją przedsięwzięcia i osiągnięciem głównego celu </w:t>
      </w:r>
    </w:p>
    <w:p w14:paraId="79569AF5" w14:textId="77777777" w:rsidR="00777775" w:rsidRPr="00F204B6" w:rsidRDefault="00777775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Roboty budowlane</w:t>
      </w:r>
    </w:p>
    <w:p w14:paraId="313DE27E" w14:textId="0A36C957" w:rsidR="00777775" w:rsidRPr="00F204B6" w:rsidRDefault="00777775" w:rsidP="00AE6B06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uznane wydatki </w:t>
      </w:r>
      <w:r w:rsidR="00BE022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związane z modernizacją infrastruktury budowlanej szpitali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Zakres </w:t>
      </w:r>
      <w:r w:rsidR="00BE022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modernizacji infrastruktury budowlanej</w:t>
      </w:r>
      <w:r w:rsidR="009430C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może obejmować</w:t>
      </w:r>
      <w:r w:rsidR="00A310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  <w:r w:rsidR="009430C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7575C5AF" w14:textId="1BEDDF0D" w:rsidR="00BE022F" w:rsidRPr="002E0A71" w:rsidRDefault="00BE022F" w:rsidP="00BE022F">
      <w:pPr>
        <w:pStyle w:val="Akapitzlist"/>
        <w:numPr>
          <w:ilvl w:val="0"/>
          <w:numId w:val="12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10" w:name="_Toc86258794"/>
      <w:r w:rsidRPr="00705468">
        <w:rPr>
          <w:rFonts w:ascii="Lato" w:hAnsi="Lato" w:cstheme="minorHAnsi"/>
          <w:sz w:val="20"/>
          <w:szCs w:val="20"/>
        </w:rPr>
        <w:t>wykonywanie ro</w:t>
      </w:r>
      <w:r w:rsidRPr="002E0A71">
        <w:rPr>
          <w:rFonts w:ascii="Lato" w:hAnsi="Lato" w:cstheme="minorHAnsi"/>
          <w:sz w:val="20"/>
          <w:szCs w:val="20"/>
        </w:rPr>
        <w:t xml:space="preserve">bót budowlanych takich </w:t>
      </w:r>
      <w:r w:rsidR="008A4735" w:rsidRPr="002E0A71">
        <w:rPr>
          <w:rFonts w:ascii="Lato" w:hAnsi="Lato" w:cstheme="minorHAnsi"/>
          <w:sz w:val="20"/>
          <w:szCs w:val="20"/>
        </w:rPr>
        <w:t>jak remont</w:t>
      </w:r>
      <w:r w:rsidRPr="002E0A71">
        <w:rPr>
          <w:rFonts w:ascii="Lato" w:hAnsi="Lato" w:cstheme="minorHAnsi"/>
          <w:sz w:val="20"/>
          <w:szCs w:val="20"/>
        </w:rPr>
        <w:t xml:space="preserve"> oraz </w:t>
      </w:r>
      <w:bookmarkStart w:id="11" w:name="_Hlk148092968"/>
      <w:bookmarkStart w:id="12" w:name="_Hlk148092899"/>
      <w:r w:rsidRPr="002E0A71">
        <w:rPr>
          <w:rFonts w:ascii="Lato" w:hAnsi="Lato" w:cstheme="minorHAnsi"/>
          <w:sz w:val="20"/>
          <w:szCs w:val="20"/>
        </w:rPr>
        <w:t>innych prac, które nie stanowią robót budowlanych w rozumieniu ustawy Prawo budowlane prowadząc</w:t>
      </w:r>
      <w:r w:rsidR="002E0A71" w:rsidRPr="002E0A71">
        <w:rPr>
          <w:rFonts w:ascii="Lato" w:hAnsi="Lato" w:cstheme="minorHAnsi"/>
          <w:sz w:val="20"/>
          <w:szCs w:val="20"/>
        </w:rPr>
        <w:t>e</w:t>
      </w:r>
      <w:r w:rsidRPr="002E0A71">
        <w:rPr>
          <w:rFonts w:ascii="Lato" w:hAnsi="Lato" w:cstheme="minorHAnsi"/>
          <w:sz w:val="20"/>
          <w:szCs w:val="20"/>
        </w:rPr>
        <w:t xml:space="preserve"> do</w:t>
      </w:r>
      <w:r w:rsidR="002E0A71" w:rsidRPr="002E0A71">
        <w:rPr>
          <w:rFonts w:ascii="Lato" w:hAnsi="Lato" w:cstheme="minorHAnsi"/>
          <w:sz w:val="20"/>
          <w:szCs w:val="20"/>
        </w:rPr>
        <w:t xml:space="preserve"> dostosowania pomieszczeń podmiotu wykonującego działalność leczniczą</w:t>
      </w:r>
      <w:r w:rsidRPr="002E0A71">
        <w:rPr>
          <w:rFonts w:ascii="Lato" w:hAnsi="Lato" w:cstheme="minorHAnsi"/>
          <w:sz w:val="20"/>
          <w:szCs w:val="20"/>
        </w:rPr>
        <w:t xml:space="preserve"> </w:t>
      </w:r>
      <w:r w:rsidR="002E0A71" w:rsidRPr="002E0A71">
        <w:rPr>
          <w:rFonts w:ascii="Lato" w:hAnsi="Lato" w:cstheme="minorHAnsi"/>
          <w:sz w:val="20"/>
          <w:szCs w:val="20"/>
        </w:rPr>
        <w:t>umożliwiające prawidłowe rozmieszczenie, zainstalowanie i użytkowanie zakupion</w:t>
      </w:r>
      <w:r w:rsidR="002E0A71">
        <w:rPr>
          <w:rFonts w:ascii="Lato" w:hAnsi="Lato" w:cstheme="minorHAnsi"/>
          <w:sz w:val="20"/>
          <w:szCs w:val="20"/>
        </w:rPr>
        <w:t>ych</w:t>
      </w:r>
      <w:r w:rsidR="002E0A71" w:rsidRPr="002E0A71">
        <w:rPr>
          <w:rFonts w:ascii="Lato" w:hAnsi="Lato" w:cstheme="minorHAnsi"/>
          <w:sz w:val="20"/>
          <w:szCs w:val="20"/>
        </w:rPr>
        <w:t xml:space="preserve"> lub zmodernizowanych urządzeń, aparatury i sprzętu </w:t>
      </w:r>
      <w:r w:rsidRPr="002E0A71">
        <w:rPr>
          <w:rFonts w:ascii="Lato" w:hAnsi="Lato" w:cstheme="minorHAnsi"/>
          <w:sz w:val="20"/>
          <w:szCs w:val="20"/>
        </w:rPr>
        <w:t xml:space="preserve">w tych </w:t>
      </w:r>
      <w:r w:rsidRPr="009A3ECE">
        <w:rPr>
          <w:rFonts w:ascii="Lato" w:hAnsi="Lato" w:cstheme="minorHAnsi"/>
          <w:sz w:val="20"/>
          <w:szCs w:val="20"/>
        </w:rPr>
        <w:t>obiektach</w:t>
      </w:r>
      <w:r w:rsidR="002E0A71" w:rsidRPr="009A3ECE">
        <w:rPr>
          <w:rFonts w:ascii="Lato" w:hAnsi="Lato" w:cstheme="minorHAnsi"/>
          <w:sz w:val="20"/>
          <w:szCs w:val="20"/>
        </w:rPr>
        <w:t>/</w:t>
      </w:r>
      <w:r w:rsidRPr="009A3ECE">
        <w:rPr>
          <w:rFonts w:ascii="Lato" w:hAnsi="Lato" w:cstheme="minorHAnsi"/>
          <w:sz w:val="20"/>
          <w:szCs w:val="20"/>
        </w:rPr>
        <w:t>pomieszczeniach</w:t>
      </w:r>
      <w:r w:rsidR="002E0A71" w:rsidRPr="009A3ECE">
        <w:rPr>
          <w:rFonts w:ascii="Lato" w:hAnsi="Lato" w:cstheme="minorHAnsi"/>
          <w:sz w:val="20"/>
          <w:szCs w:val="20"/>
        </w:rPr>
        <w:t xml:space="preserve">, w których </w:t>
      </w:r>
      <w:r w:rsidRPr="009A3ECE">
        <w:rPr>
          <w:rFonts w:ascii="Lato" w:hAnsi="Lato" w:cstheme="minorHAnsi"/>
          <w:sz w:val="20"/>
          <w:szCs w:val="20"/>
        </w:rPr>
        <w:t>zlokalizowane są</w:t>
      </w:r>
      <w:r w:rsidR="00216C55" w:rsidRPr="009A3ECE">
        <w:rPr>
          <w:rFonts w:ascii="Lato" w:hAnsi="Lato" w:cstheme="minorHAnsi"/>
          <w:sz w:val="20"/>
          <w:szCs w:val="20"/>
        </w:rPr>
        <w:t xml:space="preserve"> lub będą zlokalizowane po zakończeniu realizacji przedsięwzięcia</w:t>
      </w:r>
      <w:r w:rsidR="00C74196" w:rsidRPr="009A3ECE">
        <w:rPr>
          <w:rFonts w:ascii="Lato" w:hAnsi="Lato" w:cstheme="minorHAnsi"/>
          <w:sz w:val="20"/>
          <w:szCs w:val="20"/>
        </w:rPr>
        <w:t xml:space="preserve"> w strukturze zakładu leczniczego</w:t>
      </w:r>
      <w:r w:rsidR="005D52D9" w:rsidRPr="009A3ECE">
        <w:rPr>
          <w:rFonts w:ascii="Lato" w:hAnsi="Lato" w:cstheme="minorHAnsi"/>
          <w:sz w:val="20"/>
          <w:szCs w:val="20"/>
        </w:rPr>
        <w:t>.</w:t>
      </w:r>
    </w:p>
    <w:bookmarkEnd w:id="10"/>
    <w:bookmarkEnd w:id="11"/>
    <w:bookmarkEnd w:id="12"/>
    <w:p w14:paraId="28877DD2" w14:textId="5E791008" w:rsidR="00E322F8" w:rsidRPr="001A01BA" w:rsidRDefault="00E322F8" w:rsidP="004B0F33">
      <w:pPr>
        <w:pStyle w:val="Akapitzlist"/>
        <w:numPr>
          <w:ilvl w:val="0"/>
          <w:numId w:val="12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Przyłącza mediów</w:t>
      </w:r>
      <w:r w:rsidR="007C177B" w:rsidRPr="001A01BA">
        <w:rPr>
          <w:rFonts w:ascii="Lato" w:hAnsi="Lato" w:cstheme="minorHAnsi"/>
          <w:b/>
          <w:bCs/>
          <w:sz w:val="20"/>
          <w:szCs w:val="20"/>
        </w:rPr>
        <w:t xml:space="preserve"> - zabezpieczenie mediów</w:t>
      </w:r>
    </w:p>
    <w:p w14:paraId="59BF7B0F" w14:textId="00893393" w:rsidR="00E322F8" w:rsidRPr="00F204B6" w:rsidRDefault="00E322F8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uznane wydatki dotyczące modernizacji sieci, </w:t>
      </w:r>
      <w:r w:rsidR="00D1399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instalacji, urządzeń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6A23E0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budowli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zapewniających możliwość użytkowania infrastruktury zgodnie z jej przeznaczeniem, tj. m. in.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</w:t>
      </w:r>
      <w:r w:rsidR="0050758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 sieci i instalacje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telekomunikacyjne, </w:t>
      </w:r>
      <w:r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cieplne, wentylacyjne, gazowe, wodociągowe, kanalizacyjne, elektryczne lub elektroenergetyczne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r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związane z 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9F3F1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emontem 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prowadzonym w budynku/ach objętym/tych przedsięwzięciem.</w:t>
      </w:r>
      <w:r w:rsidR="006F317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5FB5C797" w14:textId="7D798784" w:rsidR="00A310F5" w:rsidRPr="00F204B6" w:rsidRDefault="00A310F5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bookmarkStart w:id="13" w:name="_Toc86258776"/>
      <w:bookmarkStart w:id="14" w:name="_Toc86258795"/>
      <w:bookmarkStart w:id="15" w:name="_Toc86258777"/>
      <w:bookmarkStart w:id="16" w:name="_Toc86258796"/>
      <w:bookmarkStart w:id="17" w:name="_Toc86258778"/>
      <w:bookmarkStart w:id="18" w:name="_Toc86258797"/>
      <w:bookmarkStart w:id="19" w:name="_Toc86258779"/>
      <w:bookmarkStart w:id="20" w:name="_Toc86258798"/>
      <w:bookmarkStart w:id="21" w:name="_Toc86258799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Nadzór/zarządzanie inwestycją </w:t>
      </w:r>
    </w:p>
    <w:p w14:paraId="0ACAA092" w14:textId="44249538" w:rsidR="00A310F5" w:rsidRPr="00F204B6" w:rsidRDefault="00A310F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Do tej kategorii włączone są wydatki związane z</w:t>
      </w:r>
      <w:r w:rsidR="006A23E0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 świadczeniem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usług lub innych czynności wykonywanych na </w:t>
      </w:r>
      <w:r w:rsidR="00D1399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rzecz OOW</w:t>
      </w:r>
      <w:r w:rsidR="000E4D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przez podmioty zewnętrzne, </w:t>
      </w:r>
      <w:r w:rsidR="00043C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obejmujące m.in.:</w:t>
      </w:r>
    </w:p>
    <w:p w14:paraId="441F3125" w14:textId="5BABD2FF" w:rsidR="00A310F5" w:rsidRPr="00293157" w:rsidRDefault="00043CD6" w:rsidP="00D275B2">
      <w:pPr>
        <w:pStyle w:val="Akapitzlist"/>
        <w:numPr>
          <w:ilvl w:val="0"/>
          <w:numId w:val="1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/>
          <w:sz w:val="20"/>
          <w:szCs w:val="20"/>
        </w:rPr>
      </w:pPr>
      <w:r w:rsidRPr="00293157">
        <w:rPr>
          <w:rStyle w:val="normaltextrun"/>
          <w:rFonts w:ascii="Lato" w:hAnsi="Lato"/>
          <w:sz w:val="20"/>
          <w:szCs w:val="20"/>
        </w:rPr>
        <w:t>n</w:t>
      </w:r>
      <w:r w:rsidR="00A310F5" w:rsidRPr="00293157">
        <w:rPr>
          <w:rStyle w:val="normaltextrun"/>
          <w:rFonts w:ascii="Lato" w:hAnsi="Lato"/>
          <w:sz w:val="20"/>
          <w:szCs w:val="20"/>
        </w:rPr>
        <w:t>adzór inwestorski</w:t>
      </w:r>
      <w:r w:rsidRPr="00293157">
        <w:rPr>
          <w:rStyle w:val="normaltextrun"/>
          <w:rFonts w:ascii="Lato" w:hAnsi="Lato"/>
          <w:sz w:val="20"/>
          <w:szCs w:val="20"/>
        </w:rPr>
        <w:t xml:space="preserve">, </w:t>
      </w:r>
    </w:p>
    <w:p w14:paraId="1B4736FA" w14:textId="1598ADFE" w:rsidR="00043CD6" w:rsidRPr="00293157" w:rsidRDefault="00043CD6" w:rsidP="00D275B2">
      <w:pPr>
        <w:pStyle w:val="Akapitzlist"/>
        <w:numPr>
          <w:ilvl w:val="0"/>
          <w:numId w:val="1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/>
          <w:sz w:val="20"/>
          <w:szCs w:val="20"/>
        </w:rPr>
      </w:pPr>
      <w:r w:rsidRPr="00293157">
        <w:rPr>
          <w:rStyle w:val="normaltextrun"/>
          <w:rFonts w:ascii="Lato" w:hAnsi="Lato"/>
          <w:sz w:val="20"/>
          <w:szCs w:val="20"/>
        </w:rPr>
        <w:t>zastępstwo inwestorskie.</w:t>
      </w:r>
    </w:p>
    <w:p w14:paraId="35F2C854" w14:textId="79003271" w:rsidR="00043CD6" w:rsidRPr="00F204B6" w:rsidRDefault="00043CD6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lastRenderedPageBreak/>
        <w:t>Środki trwałe/Dostawy</w:t>
      </w:r>
    </w:p>
    <w:p w14:paraId="0F438221" w14:textId="26E08CAA" w:rsidR="00043CD6" w:rsidRPr="00F204B6" w:rsidRDefault="00084513" w:rsidP="003056A9">
      <w:pPr>
        <w:spacing w:after="120" w:line="360" w:lineRule="auto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kwalifikują się wydatki na nabycie (zakup, dostawa, montaż) środków trwałych, 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rozumieniu art.</w:t>
      </w:r>
      <w:r w:rsidR="006B53D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3 ust. 1 pkt 15 ustawy z dnia 29 września 1994 r. o rachunkowości</w:t>
      </w:r>
      <w:r w:rsidR="004B0F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tj. rzeczowych aktywów trwałych i zrównanych z nimi, o przewidywanym okresie ekonomicznej użyteczności dłuższym niż rok, kompletnych, zdatnych do użytku i przeznaczonych na potrzeby jednostki. </w:t>
      </w:r>
      <w:bookmarkStart w:id="22" w:name="_Toc86258802"/>
    </w:p>
    <w:p w14:paraId="71826B5E" w14:textId="5D187B6A" w:rsidR="007169DD" w:rsidRPr="001A01BA" w:rsidRDefault="007169DD" w:rsidP="002E0A71">
      <w:pPr>
        <w:pStyle w:val="Akapitzlist"/>
        <w:numPr>
          <w:ilvl w:val="0"/>
          <w:numId w:val="33"/>
        </w:numPr>
        <w:spacing w:after="120" w:line="360" w:lineRule="auto"/>
        <w:ind w:left="709" w:hanging="283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Wyroby medyczne</w:t>
      </w:r>
      <w:bookmarkEnd w:id="22"/>
    </w:p>
    <w:p w14:paraId="06CAE37A" w14:textId="4B22031A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dotyczące zakupu wyrobów medycznych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celu doposażenia komórek organizacyjnych, wymienionych w § </w:t>
      </w:r>
      <w:r w:rsidR="009C439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8 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ust. 2 Regulaminu wyboru,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jeżeli są one uzasadnione z punktu widzenia rzeczywistego zapotrzebowania na dany produkt (ilość, parametry wyrobu medycznego muszą być adekwatne do zakresu udzielanych przez podmiot leczniczy świadczeń opieki </w:t>
      </w:r>
      <w:r w:rsidR="001A01BA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F3501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</w:t>
      </w:r>
      <w:r w:rsidR="00F35019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ułatwiają pielęgnację i opiekę nad pacjentami, chroniąc przed przeciążeniem fizycznym</w:t>
      </w:r>
      <w:r w:rsidR="00312A75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personelu, a także przyspieszają proces leczenia</w:t>
      </w:r>
      <w:r w:rsidR="00507583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312A75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C52399C" w14:textId="22BEFA77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Uzasadnienie dla zakupu wyrobów medycznych powinno wynikać z aktualnej mapy potrzeb zdrowotnych</w:t>
      </w:r>
      <w:r w:rsidR="004D605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(jeśli dotyczy)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A61C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i jest potwierdzone </w:t>
      </w:r>
      <w:r w:rsidR="00B7083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posiadaniem pozytywnej opinii o celowości inwestycji</w:t>
      </w:r>
      <w:r w:rsidR="00AA61C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3ADC7BC2" w14:textId="46B244AB" w:rsidR="007169DD" w:rsidRPr="00F204B6" w:rsidRDefault="00B87010" w:rsidP="00AE6B06">
      <w:pPr>
        <w:spacing w:after="120" w:line="360" w:lineRule="auto"/>
        <w:rPr>
          <w:rFonts w:ascii="Lato" w:hAnsi="Lato" w:cstheme="minorHAnsi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 xml:space="preserve">Za kwalifikowane </w:t>
      </w:r>
      <w:r w:rsidRPr="00F204B6">
        <w:rPr>
          <w:rFonts w:ascii="Lato" w:hAnsi="Lato" w:cstheme="minorHAnsi"/>
          <w:b/>
          <w:bCs/>
          <w:sz w:val="20"/>
          <w:szCs w:val="20"/>
        </w:rPr>
        <w:t>nie mogą zostać uznane</w:t>
      </w:r>
      <w:r w:rsidRPr="00F204B6">
        <w:rPr>
          <w:rFonts w:ascii="Lato" w:hAnsi="Lato" w:cstheme="minorHAnsi"/>
          <w:sz w:val="20"/>
          <w:szCs w:val="20"/>
        </w:rPr>
        <w:t xml:space="preserve"> wydatki poniesione na zakup produktów leczniczych.</w:t>
      </w:r>
    </w:p>
    <w:p w14:paraId="36509A6B" w14:textId="0A0865E5" w:rsidR="004B0F33" w:rsidRPr="001A01BA" w:rsidRDefault="004B0F33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Fonts w:ascii="Lato" w:hAnsi="Lato" w:cstheme="minorHAnsi"/>
          <w:b/>
          <w:bCs/>
          <w:iCs/>
          <w:sz w:val="20"/>
          <w:szCs w:val="20"/>
        </w:rPr>
        <w:t>Specjalistyczne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meble medyczne</w:t>
      </w:r>
      <w:r w:rsidR="00F43B2C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związane 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>z</w:t>
      </w:r>
      <w:r w:rsidR="00F43B2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>udzielan</w:t>
      </w:r>
      <w:r w:rsidR="00F43B2C">
        <w:rPr>
          <w:rFonts w:ascii="Lato" w:hAnsi="Lato" w:cstheme="minorHAnsi"/>
          <w:b/>
          <w:bCs/>
          <w:sz w:val="20"/>
          <w:szCs w:val="20"/>
        </w:rPr>
        <w:t>iem świadczeń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 xml:space="preserve"> w obszarze kardiologii</w:t>
      </w:r>
    </w:p>
    <w:p w14:paraId="4D40BEC1" w14:textId="4CD25C17" w:rsidR="004B0F33" w:rsidRPr="00F204B6" w:rsidRDefault="004B0F33" w:rsidP="004B0F33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uznane wydatki związane </w:t>
      </w:r>
      <w:r w:rsidR="00D13991" w:rsidRPr="00F204B6">
        <w:rPr>
          <w:rFonts w:ascii="Lato" w:hAnsi="Lato" w:cstheme="minorHAnsi"/>
          <w:iCs/>
          <w:sz w:val="20"/>
          <w:szCs w:val="20"/>
        </w:rPr>
        <w:t>z wyposażeniem</w:t>
      </w:r>
      <w:r w:rsidRPr="00F204B6">
        <w:rPr>
          <w:rFonts w:ascii="Lato" w:hAnsi="Lato" w:cstheme="minorHAnsi"/>
          <w:iCs/>
          <w:sz w:val="20"/>
          <w:szCs w:val="20"/>
        </w:rPr>
        <w:t xml:space="preserve"> gabinetów lekarskich, zabiegowych, pielęgniarskich w specjalistyczne meble medyczne, mające na celu wsparcie personelu medycznego w udzielaniu świadczeń, tj</w:t>
      </w:r>
      <w:r w:rsidR="00103459">
        <w:rPr>
          <w:rFonts w:ascii="Lato" w:hAnsi="Lato" w:cstheme="minorHAnsi"/>
          <w:iCs/>
          <w:sz w:val="20"/>
          <w:szCs w:val="20"/>
        </w:rPr>
        <w:t>.</w:t>
      </w:r>
      <w:r w:rsidRPr="00F204B6">
        <w:rPr>
          <w:rFonts w:ascii="Lato" w:hAnsi="Lato" w:cstheme="minorHAnsi"/>
          <w:iCs/>
          <w:sz w:val="20"/>
          <w:szCs w:val="20"/>
        </w:rPr>
        <w:t>: m.in. szafki na leki, kozetki medyczne, stoliki zabiegowe, wieszaki na kroplówki.</w:t>
      </w:r>
    </w:p>
    <w:p w14:paraId="2588D2F5" w14:textId="563F8A49" w:rsidR="00A825C8" w:rsidRPr="00A825C8" w:rsidRDefault="005A3EA2" w:rsidP="002E0A71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Wyposażenie socjalno-bytowe oraz </w:t>
      </w:r>
      <w:r w:rsidR="00521E15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biurowo/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administracyjne</w:t>
      </w:r>
      <w:r w:rsidR="004D6C3E">
        <w:rPr>
          <w:rStyle w:val="normaltextrun"/>
          <w:rFonts w:ascii="Lato" w:hAnsi="Lato" w:cstheme="minorHAnsi"/>
          <w:sz w:val="20"/>
          <w:szCs w:val="20"/>
        </w:rPr>
        <w:t xml:space="preserve"> - </w:t>
      </w:r>
      <w:r w:rsidR="004D6C3E" w:rsidRPr="004D6C3E">
        <w:rPr>
          <w:rStyle w:val="normaltextrun"/>
          <w:rFonts w:ascii="Lato" w:hAnsi="Lato" w:cstheme="minorHAnsi"/>
          <w:sz w:val="20"/>
          <w:szCs w:val="20"/>
        </w:rPr>
        <w:t>niezbędn</w:t>
      </w:r>
      <w:r w:rsidR="004D6C3E">
        <w:rPr>
          <w:rStyle w:val="normaltextrun"/>
          <w:rFonts w:ascii="Lato" w:hAnsi="Lato" w:cstheme="minorHAnsi"/>
          <w:sz w:val="20"/>
          <w:szCs w:val="20"/>
        </w:rPr>
        <w:t>e</w:t>
      </w:r>
      <w:r w:rsidR="004D6C3E" w:rsidRPr="004D6C3E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A825C8">
        <w:rPr>
          <w:rStyle w:val="normaltextrun"/>
          <w:rFonts w:ascii="Lato" w:hAnsi="Lato" w:cstheme="minorHAnsi"/>
          <w:sz w:val="20"/>
          <w:szCs w:val="20"/>
        </w:rPr>
        <w:t xml:space="preserve">z punktu widzenia </w:t>
      </w:r>
      <w:r w:rsidR="00A825C8" w:rsidRPr="00A825C8">
        <w:rPr>
          <w:rFonts w:ascii="Lato" w:hAnsi="Lato" w:cstheme="minorHAnsi"/>
          <w:sz w:val="20"/>
          <w:szCs w:val="20"/>
        </w:rPr>
        <w:t>popraw</w:t>
      </w:r>
      <w:r w:rsidR="00A825C8">
        <w:rPr>
          <w:rFonts w:ascii="Lato" w:hAnsi="Lato" w:cstheme="minorHAnsi"/>
          <w:sz w:val="20"/>
          <w:szCs w:val="20"/>
        </w:rPr>
        <w:t>y</w:t>
      </w:r>
      <w:r w:rsidR="00A825C8" w:rsidRPr="00A825C8">
        <w:rPr>
          <w:rFonts w:ascii="Lato" w:hAnsi="Lato" w:cstheme="minorHAnsi"/>
          <w:sz w:val="20"/>
          <w:szCs w:val="20"/>
        </w:rPr>
        <w:t xml:space="preserve"> warunków bytowych, w tym zwłaszcza podnoszących komfort przebywania w miejscach świadczonych usług oraz popraw</w:t>
      </w:r>
      <w:r w:rsidR="00265E5D">
        <w:rPr>
          <w:rFonts w:ascii="Lato" w:hAnsi="Lato" w:cstheme="minorHAnsi"/>
          <w:sz w:val="20"/>
          <w:szCs w:val="20"/>
        </w:rPr>
        <w:t>y</w:t>
      </w:r>
      <w:r w:rsidR="00A825C8" w:rsidRPr="00A825C8">
        <w:rPr>
          <w:rFonts w:ascii="Lato" w:hAnsi="Lato" w:cstheme="minorHAnsi"/>
          <w:sz w:val="20"/>
          <w:szCs w:val="20"/>
        </w:rPr>
        <w:t xml:space="preserve"> infrastruktury pomieszczeń socjalnych</w:t>
      </w:r>
      <w:r w:rsidR="00265E5D">
        <w:rPr>
          <w:rFonts w:ascii="Lato" w:hAnsi="Lato" w:cstheme="minorHAnsi"/>
          <w:sz w:val="20"/>
          <w:szCs w:val="20"/>
        </w:rPr>
        <w:t>.</w:t>
      </w:r>
    </w:p>
    <w:p w14:paraId="0A558285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z:</w:t>
      </w:r>
    </w:p>
    <w:p w14:paraId="0D7CEAB5" w14:textId="5384F485" w:rsidR="004B0F33" w:rsidRPr="0094254D" w:rsidRDefault="004B0F33" w:rsidP="002E0A71">
      <w:pPr>
        <w:numPr>
          <w:ilvl w:val="0"/>
          <w:numId w:val="22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wyposażeniem socjalno-bytowym, mającym na celu poprawę warunków niezbędnych do funkcjonowania oddziałów szpitalnych zarówno dla pacjentów, np. szafki przyłóżkowe, </w:t>
      </w:r>
      <w:r w:rsidR="003C6069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taborety z regulacją wysokości,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krzesła, wieszaki, umywalki, dozowniki z mydłem, pojemniki z ręcznikami jednorazowymi, oraz pojemniki na zużyte ręczniki, jak i personelu medycznego, np. wyposażenie pomieszczeń gospodarczych oraz socjalnych typu np. dyżurka pielęgniarek, pomieszczeń higieniczno-sanitarnych, porządkowych, śluz umywalkowo-fartuchowych czy szatniowych.</w:t>
      </w:r>
    </w:p>
    <w:p w14:paraId="0C44D2B0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nie będą uznane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wydatki poniesione na zakup m. in. telewizorów, sprzętu grającego, kin domowych i innego wyposażenia, które nie jest niezbędne dla realizacji celu przedsięwzięcia oraz dla poprawnego funkcjonowania infrastruktury wytworzonej w wyniku jego realizacji.</w:t>
      </w:r>
    </w:p>
    <w:p w14:paraId="47534E81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23" w:name="_Hlk16900699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wyposażenie socjalno-bytowe nie mogą stanowić więcej niż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15 %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w przedsięwzięciu</w:t>
      </w:r>
      <w:bookmarkEnd w:id="23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61F776EA" w14:textId="11BC4194" w:rsidR="004B0F33" w:rsidRPr="00F204B6" w:rsidRDefault="004B0F33" w:rsidP="002E0A71">
      <w:pPr>
        <w:numPr>
          <w:ilvl w:val="0"/>
          <w:numId w:val="23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zakupem wyposażenia biurowego/administracyjnego (zabudowa meblowa, krzesła, biurka, kontenery, stoliki, szafy ubraniowe), mogą zostać uznane za kwalifikowalne pod warunkiem, że są niezbędne dla realizacji celu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przedsięwzięcia oraz dla poprawnego funkcjonowania infrastruktury wytworzonej w wyniku realizacji przedsięwzięcia. </w:t>
      </w:r>
    </w:p>
    <w:p w14:paraId="6D99D6DB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wyposażenie biurowe/administracyjne nie mogą stanowić więcej niż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5%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przedsięwzięcia.</w:t>
      </w:r>
    </w:p>
    <w:p w14:paraId="69578190" w14:textId="0170C7A3" w:rsidR="005A3EA2" w:rsidRPr="001A01BA" w:rsidRDefault="005A3EA2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Infrastruktura dotycząca informatyzacji</w:t>
      </w:r>
    </w:p>
    <w:p w14:paraId="5F56F85D" w14:textId="3B1A05F8" w:rsidR="004615F3" w:rsidRPr="00F204B6" w:rsidRDefault="005A3E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 zakupem sprzętu komputerowego (np. komputery stacjonarne, laptopy, tablety, drukarki, skanery)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systemów teleinformatycznych, serwerów, zintegrowanych systemów informatycznych oraz innego sprzętu niezbędnego do prowadzonej działalności wyłącznie w przypadku, gdy sprzęt ten jest bezpośrednio związany działaniem jednostek organizacyjnych objętych wsparciem</w:t>
      </w:r>
      <w:r w:rsidR="000504CF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i jest niezbędny do prawidłowego wykorzystania wyrobów medycznych, o których mowa  w pkt 1), zakupionych lub modernizowanych w ramach realizacji przedsięwzięcia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BC67B52" w14:textId="17A2D1E8" w:rsidR="001A01BA" w:rsidRPr="001A01BA" w:rsidRDefault="00D417EB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Leasing środków trwałych oraz wartości niematerialnych i prawnych</w:t>
      </w:r>
    </w:p>
    <w:p w14:paraId="28CE1B0A" w14:textId="79F84EB0" w:rsidR="005B45D8" w:rsidRPr="001A01BA" w:rsidRDefault="005B45D8" w:rsidP="001A01BA">
      <w:pPr>
        <w:spacing w:after="120" w:line="360" w:lineRule="auto"/>
        <w:ind w:left="357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sz w:val="20"/>
          <w:szCs w:val="20"/>
        </w:rPr>
        <w:t xml:space="preserve">Szczegółowe warunki kwalifikowalności wydatków poniesionych w związku z zastosowaniem technik finansowania, które nie powodują natychmiastowego przeniesienia prawa własności do danego dobra na </w:t>
      </w:r>
      <w:r w:rsidR="00EC0A20">
        <w:rPr>
          <w:rStyle w:val="normaltextrun"/>
          <w:rFonts w:ascii="Lato" w:hAnsi="Lato" w:cstheme="minorHAnsi"/>
          <w:sz w:val="20"/>
          <w:szCs w:val="20"/>
        </w:rPr>
        <w:t xml:space="preserve">OOW </w:t>
      </w:r>
      <w:r w:rsidRPr="001A01BA">
        <w:rPr>
          <w:rStyle w:val="normaltextrun"/>
          <w:rFonts w:ascii="Lato" w:hAnsi="Lato" w:cstheme="minorHAnsi"/>
          <w:sz w:val="20"/>
          <w:szCs w:val="20"/>
        </w:rPr>
        <w:t>(np. leasing)</w:t>
      </w:r>
      <w:r w:rsidR="000B13CE" w:rsidRPr="001A01BA">
        <w:rPr>
          <w:rStyle w:val="normaltextrun"/>
          <w:rFonts w:ascii="Lato" w:hAnsi="Lato" w:cstheme="minorHAnsi"/>
          <w:sz w:val="20"/>
          <w:szCs w:val="20"/>
        </w:rPr>
        <w:t>:</w:t>
      </w:r>
    </w:p>
    <w:p w14:paraId="08FEC6E4" w14:textId="77777777" w:rsidR="00D417EB" w:rsidRPr="00293032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293032">
        <w:rPr>
          <w:rStyle w:val="normaltextrun"/>
          <w:rFonts w:ascii="Lato" w:hAnsi="Lato"/>
          <w:sz w:val="20"/>
          <w:szCs w:val="20"/>
        </w:rPr>
        <w:t>W przypadku zastosowania leasingu finansowego wydatkiem kwalifikującym się do współfinansowania jest</w:t>
      </w:r>
      <w:r w:rsidRPr="00293032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</w:p>
    <w:p w14:paraId="3120CD81" w14:textId="45EFB491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kwota przypadająca na część raty leasingowej wystawionej na rzecz </w:t>
      </w:r>
      <w:r w:rsidR="00EC0A20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OOW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związanej ze spłatą kapitału (raty kapitałowej) przedmiotu umowy leasingu, albo</w:t>
      </w:r>
    </w:p>
    <w:p w14:paraId="52789BF0" w14:textId="2B52D8A6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kwota przypadająca na fakturę nabycia przedmiotu leasingu wystawiona na rzecz leasingodawcy, o ile we wniosku o dofinansowanie projektu leasingodawca został wskazany jako podmiot upoważniony do poniesienia wydatku na zakup leasingowanego dobra</w:t>
      </w:r>
    </w:p>
    <w:p w14:paraId="78032A5D" w14:textId="51CF04C8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przypadku zastosowania leasingu operacyjnego wydatkiem kwalifikującym się do współfinansowania jest kwota przypadająca na część raty leasingowej wystawionej na rzecz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związanej ze spłatą kapitału przedmiotu umowy leasingu</w:t>
      </w:r>
      <w:r w:rsidR="00293032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2C7D2C5F" w14:textId="1EFAECBF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gdy okres obowiązywania umowy leasingu wykracza poza końcową datę kwalifikowalności wydatków, wydatkami kwalifikującymi się do współfinansowania w sytuacji, o której mowa w pkt </w:t>
      </w:r>
      <w:r w:rsidR="00124CF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lit. a, są raty leasingowe, zapłacone w okresie kwalifikowalności wydatków wskazanym w umowie o dofinansowanie projektu.</w:t>
      </w:r>
    </w:p>
    <w:p w14:paraId="09F484CA" w14:textId="07C1C1EE" w:rsidR="003C56C0" w:rsidRPr="001A01BA" w:rsidRDefault="000E07B8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Ś</w:t>
      </w:r>
      <w:r w:rsidR="003C56C0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rodk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</w:t>
      </w:r>
      <w:r w:rsidR="003C56C0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transportu</w:t>
      </w:r>
    </w:p>
    <w:p w14:paraId="381EDB3D" w14:textId="4A2378D3" w:rsidR="003C56C0" w:rsidRPr="00F204B6" w:rsidRDefault="003C56C0" w:rsidP="003C56C0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Kwalifikowalne są wydatki związane z zakupem środków transportu sanitarnego (karetki), natomiast nie jest kwalifikowalny zakup środków transportu</w:t>
      </w:r>
      <w:r w:rsidRPr="0094254D" w:rsidDel="00ED2591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pasażerskiego w ramach przedsięwzięcia.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12181CAA" w14:textId="68516299" w:rsidR="00AC429D" w:rsidRPr="00F204B6" w:rsidRDefault="00AC429D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Dostawy (inne niż środki trwałe) </w:t>
      </w:r>
    </w:p>
    <w:p w14:paraId="597E42B0" w14:textId="047DE1FA" w:rsidR="00AC429D" w:rsidRPr="00F204B6" w:rsidRDefault="00AC429D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mogą zostać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uznane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wydatki związane z zakupem i dostawą materiałów i środków wymienion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ych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="000E07B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pkt 3,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ale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które nie mogą zostać zaliczone do środków trwałych. </w:t>
      </w:r>
    </w:p>
    <w:p w14:paraId="2F5432DC" w14:textId="3F3B1912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lastRenderedPageBreak/>
        <w:t>Wartości niematerialne i prawne</w:t>
      </w:r>
    </w:p>
    <w:p w14:paraId="5FFD78D8" w14:textId="7A4C0C69" w:rsidR="00AC429D" w:rsidRPr="00F204B6" w:rsidRDefault="003F0172" w:rsidP="00AE6B06">
      <w:pPr>
        <w:pStyle w:val="Nagwek2"/>
        <w:spacing w:after="120"/>
        <w:rPr>
          <w:rFonts w:ascii="Lato" w:hAnsi="Lato" w:cstheme="minorHAnsi"/>
          <w:b w:val="0"/>
          <w:bCs w:val="0"/>
          <w:i w:val="0"/>
          <w:iCs/>
          <w:sz w:val="20"/>
          <w:szCs w:val="20"/>
        </w:rPr>
      </w:pP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Za kwalifikowalne mogą zostać uznane wydatki związane z nabyciem wartości niematerialnych i prawnych, np. programów i</w:t>
      </w:r>
      <w:r w:rsidR="000E07B8"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 </w:t>
      </w: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licencji (bez urządzeń do ich obsługi) i odpłatnym korzystaniem z</w:t>
      </w:r>
      <w:r w:rsidR="007A0B96"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 </w:t>
      </w: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wartości niematerialnych i prawnych.</w:t>
      </w:r>
    </w:p>
    <w:p w14:paraId="45AC6946" w14:textId="010FFD0A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Usługi zewnętrzne</w:t>
      </w:r>
    </w:p>
    <w:p w14:paraId="7D25EA27" w14:textId="72B8AD39" w:rsidR="003F0172" w:rsidRPr="00F204B6" w:rsidRDefault="003F017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tej kategorii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zakwalifikowane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są wydatki związane z pozyskaniem i korzystaniem z usług lub innych czynności wykonywanych na </w:t>
      </w:r>
      <w:r w:rsidR="00D36D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rzecz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0E4D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przez podmioty zewnętrzne, w zakresie prac przygotowawczych i projektowych 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oraz innych usług specjalistycznych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obejmujących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m.</w:t>
      </w:r>
      <w:r w:rsid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4B79F40D" w14:textId="1D101A73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dokumentacj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ę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projektow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ą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57377" w:rsidRPr="00F204B6">
        <w:rPr>
          <w:rStyle w:val="normaltextrun"/>
          <w:rFonts w:ascii="Lato" w:hAnsi="Lato" w:cstheme="minorHAnsi"/>
          <w:sz w:val="20"/>
          <w:szCs w:val="20"/>
        </w:rPr>
        <w:t>budynków</w:t>
      </w:r>
      <w:r w:rsidR="001A31D2"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20947283" w14:textId="6806B616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dokumentacj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ę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powykonawcz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ą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sprawdzenia prac projektowych,</w:t>
      </w:r>
    </w:p>
    <w:p w14:paraId="79F9D29E" w14:textId="1A87A3E1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nadz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ór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autorski,</w:t>
      </w:r>
    </w:p>
    <w:p w14:paraId="7926E3B9" w14:textId="33A70660" w:rsidR="003F0172" w:rsidRPr="00F204B6" w:rsidRDefault="00EA1E54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s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>porządzani</w:t>
      </w:r>
      <w:r w:rsidRPr="00F204B6">
        <w:rPr>
          <w:rStyle w:val="normaltextrun"/>
          <w:rFonts w:ascii="Lato" w:hAnsi="Lato" w:cstheme="minorHAnsi"/>
          <w:sz w:val="20"/>
          <w:szCs w:val="20"/>
        </w:rPr>
        <w:t>e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 xml:space="preserve"> przedmiarów i kosztorysów,</w:t>
      </w:r>
    </w:p>
    <w:p w14:paraId="4F57C86B" w14:textId="4E9C2D7B" w:rsidR="003F0172" w:rsidRPr="00F204B6" w:rsidRDefault="0020157C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eksper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 xml:space="preserve">tyzy, świadectwa, operaty, studia, </w:t>
      </w:r>
    </w:p>
    <w:p w14:paraId="3CDC8F76" w14:textId="0626FD3E" w:rsidR="00432B7B" w:rsidRPr="00F204B6" w:rsidRDefault="00432B7B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usługi doradcze</w:t>
      </w:r>
      <w:r w:rsidR="002D0F6D" w:rsidRPr="00F204B6">
        <w:rPr>
          <w:rStyle w:val="normaltextrun"/>
          <w:rFonts w:ascii="Lato" w:hAnsi="Lato" w:cstheme="minorHAnsi"/>
          <w:sz w:val="20"/>
          <w:szCs w:val="20"/>
        </w:rPr>
        <w:t xml:space="preserve"> – techniczne, finansowe i prawne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607946FA" w14:textId="481E547D" w:rsidR="008B55B8" w:rsidRPr="005A0FF7" w:rsidRDefault="002C46E4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nadzór inwestorski, zastępstwo inwestorskie</w:t>
      </w:r>
      <w:r w:rsidR="004350FB"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077C7496" w14:textId="60B37E9F" w:rsidR="008B55B8" w:rsidRPr="005A0FF7" w:rsidRDefault="004350FB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5A0FF7">
        <w:rPr>
          <w:rStyle w:val="normaltextrun"/>
          <w:rFonts w:ascii="Lato" w:hAnsi="Lato" w:cstheme="minorHAnsi"/>
          <w:sz w:val="20"/>
          <w:szCs w:val="20"/>
        </w:rPr>
        <w:t>uporządkowanie terenu po inwestycji</w:t>
      </w:r>
      <w:r w:rsidR="008B55B8" w:rsidRPr="005A0FF7">
        <w:rPr>
          <w:rStyle w:val="normaltextrun"/>
          <w:rFonts w:ascii="Lato" w:hAnsi="Lato" w:cstheme="minorHAnsi"/>
          <w:sz w:val="20"/>
          <w:szCs w:val="20"/>
        </w:rPr>
        <w:t xml:space="preserve">, </w:t>
      </w:r>
    </w:p>
    <w:p w14:paraId="5557549F" w14:textId="611E29D3" w:rsidR="004350FB" w:rsidRDefault="008B55B8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Fonts w:ascii="Lato" w:hAnsi="Lato" w:cstheme="minorHAnsi"/>
          <w:iCs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dostosowanie do wymogów związanych z </w:t>
      </w:r>
      <w:r w:rsidR="004350FB" w:rsidRPr="00F204B6">
        <w:rPr>
          <w:rStyle w:val="normaltextrun"/>
          <w:rFonts w:ascii="Lato" w:hAnsi="Lato" w:cstheme="minorHAnsi"/>
          <w:sz w:val="20"/>
          <w:szCs w:val="20"/>
        </w:rPr>
        <w:t xml:space="preserve">ochroną środowiska. </w:t>
      </w:r>
      <w:r w:rsidR="004350FB" w:rsidRPr="00F204B6">
        <w:rPr>
          <w:rFonts w:ascii="Lato" w:hAnsi="Lato" w:cstheme="minorHAnsi"/>
          <w:iCs/>
          <w:sz w:val="20"/>
          <w:szCs w:val="20"/>
        </w:rPr>
        <w:t xml:space="preserve">Za kwalifikowalne mogą zostać koszty działań związanych z ochroną środowiska, takie jak systemy oczyszczania i rekultywacja terenu oraz koszty </w:t>
      </w:r>
      <w:r w:rsidR="008A7FF7" w:rsidRPr="00F204B6">
        <w:rPr>
          <w:rFonts w:ascii="Lato" w:hAnsi="Lato" w:cstheme="minorHAnsi"/>
          <w:iCs/>
          <w:sz w:val="20"/>
          <w:szCs w:val="20"/>
        </w:rPr>
        <w:t xml:space="preserve">konieczne do poniesienia w celu </w:t>
      </w:r>
      <w:r w:rsidR="004350FB" w:rsidRPr="00F204B6">
        <w:rPr>
          <w:rFonts w:ascii="Lato" w:hAnsi="Lato" w:cstheme="minorHAnsi"/>
          <w:iCs/>
          <w:sz w:val="20"/>
          <w:szCs w:val="20"/>
        </w:rPr>
        <w:t>uzyskania niezbędnych pozwoleń środowiskowych</w:t>
      </w:r>
      <w:r w:rsidR="0094254D">
        <w:rPr>
          <w:rFonts w:ascii="Lato" w:hAnsi="Lato" w:cstheme="minorHAnsi"/>
          <w:iCs/>
          <w:sz w:val="20"/>
          <w:szCs w:val="20"/>
        </w:rPr>
        <w:t>.</w:t>
      </w:r>
    </w:p>
    <w:p w14:paraId="6B29C282" w14:textId="345943B5" w:rsidR="0094254D" w:rsidRPr="0094254D" w:rsidRDefault="0094254D" w:rsidP="0094254D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035C89">
        <w:rPr>
          <w:rFonts w:ascii="Lato" w:hAnsi="Lato" w:cstheme="minorHAnsi"/>
          <w:b/>
          <w:bCs/>
          <w:sz w:val="20"/>
          <w:szCs w:val="20"/>
          <w:u w:val="single"/>
        </w:rPr>
        <w:t>Koszt opracowania dokumentacji aplikacyjnej w ramach przedmiotowego naboru nie stanowi kosztu kwalifikowalnego</w:t>
      </w:r>
      <w:r w:rsidRPr="00422296">
        <w:rPr>
          <w:rFonts w:ascii="Lato" w:hAnsi="Lato" w:cstheme="minorHAnsi"/>
          <w:sz w:val="20"/>
          <w:szCs w:val="20"/>
          <w:u w:val="single"/>
        </w:rPr>
        <w:t>.</w:t>
      </w:r>
    </w:p>
    <w:p w14:paraId="4C1B385A" w14:textId="707F3127" w:rsidR="005A0FF7" w:rsidRPr="0094254D" w:rsidRDefault="005A0FF7" w:rsidP="0094254D">
      <w:pPr>
        <w:pStyle w:val="Akapitzlist"/>
        <w:spacing w:after="120" w:line="360" w:lineRule="auto"/>
        <w:ind w:left="714"/>
        <w:contextualSpacing w:val="0"/>
        <w:rPr>
          <w:rFonts w:ascii="Lato" w:hAnsi="Lato" w:cstheme="minorHAnsi"/>
          <w:sz w:val="20"/>
          <w:szCs w:val="20"/>
        </w:rPr>
      </w:pPr>
    </w:p>
    <w:p w14:paraId="6CF6D422" w14:textId="14A9B3D6" w:rsidR="0094254D" w:rsidRDefault="0094254D" w:rsidP="0094254D">
      <w:pPr>
        <w:pStyle w:val="Nagwek2"/>
        <w:numPr>
          <w:ilvl w:val="0"/>
          <w:numId w:val="11"/>
        </w:numPr>
        <w:spacing w:before="0" w:after="120"/>
        <w:ind w:left="357" w:hanging="357"/>
        <w:rPr>
          <w:rStyle w:val="normaltextrun"/>
          <w:rFonts w:ascii="Lato" w:hAnsi="Lato" w:cstheme="minorHAnsi"/>
          <w:i w:val="0"/>
          <w:iCs/>
          <w:sz w:val="20"/>
          <w:szCs w:val="20"/>
        </w:rPr>
      </w:pPr>
      <w:r w:rsidRPr="0094254D">
        <w:rPr>
          <w:rStyle w:val="normaltextrun"/>
          <w:rFonts w:ascii="Lato" w:hAnsi="Lato" w:cstheme="minorHAnsi"/>
          <w:i w:val="0"/>
          <w:iCs/>
          <w:sz w:val="20"/>
          <w:szCs w:val="20"/>
        </w:rPr>
        <w:t>Koszty promocji i informacji</w:t>
      </w:r>
    </w:p>
    <w:p w14:paraId="4E377D8B" w14:textId="505E8631" w:rsidR="000C10ED" w:rsidRPr="009A3ECE" w:rsidRDefault="0094254D" w:rsidP="001D3D91">
      <w:pPr>
        <w:spacing w:line="360" w:lineRule="auto"/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</w:t>
      </w:r>
      <w:r w:rsidR="00EC0A20">
        <w:rPr>
          <w:rFonts w:ascii="Lato" w:hAnsi="Lato" w:cstheme="minorHAnsi"/>
          <w:iCs/>
          <w:sz w:val="20"/>
          <w:szCs w:val="20"/>
        </w:rPr>
        <w:t xml:space="preserve">uznane </w:t>
      </w:r>
      <w:r w:rsidRPr="00F204B6">
        <w:rPr>
          <w:rFonts w:ascii="Lato" w:hAnsi="Lato" w:cstheme="minorHAnsi"/>
          <w:iCs/>
          <w:sz w:val="20"/>
          <w:szCs w:val="20"/>
        </w:rPr>
        <w:t xml:space="preserve">koszty działań promocyjnych związanych z projektem, takich jak kampanie informacyjne, ulotki, broszury oraz koszty organizacji konferencji, seminariów i spotkań informacyjnych.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promocję i informację </w:t>
      </w:r>
      <w:r w:rsidR="0056034E" w:rsidRPr="0056034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mogą wynosić więcej niż </w:t>
      </w:r>
      <w:r w:rsidR="004B06A7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56034E" w:rsidRPr="0056034E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 %</w:t>
      </w:r>
      <w:r w:rsidR="0056034E" w:rsidRPr="0056034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Pr="0094254D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150 tys. zł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bookmarkEnd w:id="21"/>
    <w:p w14:paraId="5DBE2786" w14:textId="13EB561E" w:rsidR="00132185" w:rsidRPr="00F204B6" w:rsidRDefault="00F3065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wsparcia uczestników projektu </w:t>
      </w:r>
      <w:r w:rsidR="005B45D8" w:rsidRPr="00F204B6">
        <w:rPr>
          <w:rFonts w:ascii="Lato" w:hAnsi="Lato" w:cstheme="minorHAnsi"/>
          <w:i w:val="0"/>
          <w:iCs/>
          <w:sz w:val="20"/>
          <w:szCs w:val="20"/>
        </w:rPr>
        <w:t>(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k</w:t>
      </w:r>
      <w:r w:rsidR="00132185" w:rsidRPr="00F204B6">
        <w:rPr>
          <w:rFonts w:ascii="Lato" w:hAnsi="Lato" w:cstheme="minorHAnsi"/>
          <w:i w:val="0"/>
          <w:iCs/>
          <w:sz w:val="20"/>
          <w:szCs w:val="20"/>
        </w:rPr>
        <w:t xml:space="preserve">oszty </w:t>
      </w:r>
      <w:r w:rsidR="006523C5" w:rsidRPr="00F204B6">
        <w:rPr>
          <w:rFonts w:ascii="Lato" w:hAnsi="Lato" w:cstheme="minorHAnsi"/>
          <w:i w:val="0"/>
          <w:iCs/>
          <w:sz w:val="20"/>
          <w:szCs w:val="20"/>
        </w:rPr>
        <w:t>szkoleń i edukacji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)</w:t>
      </w:r>
    </w:p>
    <w:p w14:paraId="187BB8CA" w14:textId="067164E6" w:rsidR="00007CDD" w:rsidRPr="00F204B6" w:rsidRDefault="0013218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są 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związane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 przeprowadzeniem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szkoleń dla personelu obsługującego infrastrukturę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sprzęt i aparaturę medyczną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zakupioną 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przedsięwzięcia oraz koszty edukacyjne związane z wdrażaniem nowych technologii lub procesów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42EF2196" w14:textId="2D9004CE" w:rsidR="0048229C" w:rsidRPr="00F204B6" w:rsidRDefault="001E4D8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szkolenia i edukację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mogą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wynosić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więcej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F43B2C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5 </w:t>
      </w:r>
      <w:r w:rsidR="00F43B2C" w:rsidRPr="00442D9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%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6523C5" w:rsidRPr="0094254D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200 tys. zł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2238F5" w14:textId="0C412B13" w:rsidR="006523C5" w:rsidRPr="00F204B6" w:rsidRDefault="00F30652" w:rsidP="006523C5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lastRenderedPageBreak/>
        <w:t>Podatki i opłaty</w:t>
      </w:r>
    </w:p>
    <w:p w14:paraId="6CC9A792" w14:textId="3D0ADD88" w:rsidR="006523C5" w:rsidRPr="00F204B6" w:rsidRDefault="006523C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kategorii kwalifikowalne mogą zostać koszty finansowe tj</w:t>
      </w:r>
      <w:r w:rsidR="00103459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18547CC0" w14:textId="77AB3DF4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opłaty notarialne, opłaty administracyjne związane z uzyskiwaniem wszelkiego rodzaju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pozwoleń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czy zgód niezbędnych do realizacji projektu, o ile faktycznie zostały poniesione przez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OOW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(np. przyłączenia do sieci energetycznej),</w:t>
      </w:r>
    </w:p>
    <w:p w14:paraId="7C429149" w14:textId="57E12D2D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koszty ubezpieczeń lub gwarancji bankowych, o ile są wymagane przez przepisy prawa, z wyłączeniem wydatków na ubezpieczenia dotyczących fazy eksploatacyjnej projektu,</w:t>
      </w:r>
    </w:p>
    <w:p w14:paraId="193C372D" w14:textId="3C9FDE7E" w:rsidR="006523C5" w:rsidRPr="00035C89" w:rsidRDefault="00EE7C0D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b/>
          <w:bCs/>
          <w:iCs/>
          <w:color w:val="000000" w:themeColor="text1"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nne opłaty administracyjne związane bezpośrednio z realizacją projektu</w:t>
      </w:r>
      <w:r w:rsid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(</w:t>
      </w:r>
      <w:r w:rsidR="0094254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nie dotyczy 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opłaty za OCI</w:t>
      </w:r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rozdz. 1 pkt.3 ppkt. </w:t>
      </w:r>
      <w:r w:rsidR="0094254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q ustawy z dnia 27 sierpnia 2004 r o świadczeniach opieki zdrowotnej finansowanych ze środków publicznych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)</w:t>
      </w:r>
      <w:r w:rsidR="006523C5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.</w:t>
      </w:r>
    </w:p>
    <w:p w14:paraId="4DBEA7C8" w14:textId="77777777" w:rsidR="00F30652" w:rsidRPr="00F204B6" w:rsidRDefault="0048229C" w:rsidP="00FD36F0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Amortyzacja </w:t>
      </w:r>
    </w:p>
    <w:p w14:paraId="1C5D8D4B" w14:textId="0DF74FCA" w:rsidR="0048229C" w:rsidRPr="00F204B6" w:rsidRDefault="0048229C" w:rsidP="005B45D8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Koszty amortyzacji mogą być uznane za kwalifikowalne na warunkach określonych w art. 67 ust. 2 </w:t>
      </w:r>
      <w:r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rozporządzenia </w:t>
      </w:r>
      <w:r w:rsidR="00600B78"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>Parlamentu Europejskiego i Rady (UE) 2021/1060 z dnia 24 czerwca 2021 r. (Dz. Urz. UE L 231 z 30.06.2021, str. 159, z</w:t>
      </w:r>
      <w:r w:rsidR="00600B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późn. zm.)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tj.</w:t>
      </w:r>
      <w:r w:rsidR="009A3ECE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gdy spełnione są następujące warunki:</w:t>
      </w:r>
    </w:p>
    <w:p w14:paraId="4C0243D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kwota wydatków jest należycie uzasadniona dokumentami potwierdzającymi o wartości dowodowej równoważnej fakturom obejmującym koszty kwalifikowalne,</w:t>
      </w:r>
    </w:p>
    <w:p w14:paraId="0DF2A2B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odnoszą się wyłącznie do okresu realizacji projektu wskazanego w umowie o dofinansowanie projektu, </w:t>
      </w:r>
    </w:p>
    <w:p w14:paraId="305A3FF8" w14:textId="1869A23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</w:t>
      </w:r>
      <w:r w:rsidR="00AD0826">
        <w:rPr>
          <w:rStyle w:val="normaltextrun"/>
          <w:rFonts w:ascii="Lato" w:hAnsi="Lato" w:cstheme="minorHAnsi"/>
          <w:sz w:val="20"/>
          <w:szCs w:val="20"/>
        </w:rPr>
        <w:t>tacje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publiczne nie zostały wykorzystane do celów nabycia amortyzowanych aktywów.</w:t>
      </w:r>
    </w:p>
    <w:p w14:paraId="3C6C47F0" w14:textId="3FE36531" w:rsidR="00453641" w:rsidRPr="00F204B6" w:rsidRDefault="009D6A4B" w:rsidP="004B0F33">
      <w:pPr>
        <w:pStyle w:val="Akapitzlist"/>
        <w:numPr>
          <w:ilvl w:val="0"/>
          <w:numId w:val="14"/>
        </w:numPr>
        <w:spacing w:after="120" w:line="360" w:lineRule="auto"/>
        <w:ind w:left="357" w:hanging="357"/>
        <w:contextualSpacing w:val="0"/>
        <w:rPr>
          <w:rFonts w:ascii="Lato" w:eastAsiaTheme="majorEastAsia" w:hAnsi="Lato" w:cstheme="minorHAnsi"/>
          <w:b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KOSZTY POŚREDNIE – </w:t>
      </w:r>
      <w:bookmarkStart w:id="24" w:name="_Hlk145582069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koszty niezbędne do realizacji przedsięwzięcia, których nie można bezpośrednio przypisać do głównego celu inwestycji</w:t>
      </w:r>
      <w:bookmarkEnd w:id="24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, w szczególności koszty </w:t>
      </w:r>
      <w:r w:rsidR="00EC2CE2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zarządzania,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 związane z obsługą pr</w:t>
      </w:r>
      <w:r w:rsidR="0098296F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zedsięwzięcia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. </w:t>
      </w:r>
    </w:p>
    <w:p w14:paraId="58C95ABE" w14:textId="09883BE1" w:rsidR="000966A2" w:rsidRPr="00F204B6" w:rsidRDefault="000966A2" w:rsidP="004B0F33">
      <w:pPr>
        <w:pStyle w:val="Nagwek2"/>
        <w:numPr>
          <w:ilvl w:val="0"/>
          <w:numId w:val="15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Koszty ogólne, osobowe, zarządu i pozostałe</w:t>
      </w:r>
    </w:p>
    <w:p w14:paraId="0831FA85" w14:textId="0D880D85" w:rsidR="000966A2" w:rsidRPr="00F204B6" w:rsidRDefault="000966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Jako koszty pośrednie kwalifikują się </w:t>
      </w:r>
      <w:r w:rsidR="000512E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m.in.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następujące wydatki: </w:t>
      </w:r>
    </w:p>
    <w:p w14:paraId="011F54DF" w14:textId="1B28B352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koordynatora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innego personelu zaangażowanego w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zarządzanie, rozliczanie, monitorowanie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lub prowadzenie innych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działań administracyjnych</w:t>
      </w:r>
      <w:r w:rsidR="00D36D33" w:rsidRPr="00F204B6">
        <w:rPr>
          <w:rStyle w:val="normaltextrun"/>
          <w:rFonts w:ascii="Lato" w:hAnsi="Lato" w:cstheme="minorHAnsi"/>
          <w:sz w:val="20"/>
          <w:szCs w:val="20"/>
        </w:rPr>
        <w:t xml:space="preserve"> \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5C201BE9" w14:textId="5491319A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zarządu (wynagrodzenia osób uprawnionych do reprezentowania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jednostki, których zakresy czynności nie są przypisane wyłącznie do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np. kierownika jednostki),</w:t>
      </w:r>
    </w:p>
    <w:p w14:paraId="7A1C89EB" w14:textId="2DDBF774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personelu obsługowego (obsługa kadrowa, finansowa, 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księgowa, </w:t>
      </w:r>
      <w:r w:rsidRPr="00F204B6">
        <w:rPr>
          <w:rStyle w:val="normaltextrun"/>
          <w:rFonts w:ascii="Lato" w:hAnsi="Lato" w:cstheme="minorHAnsi"/>
          <w:sz w:val="20"/>
          <w:szCs w:val="20"/>
        </w:rPr>
        <w:t>administracyjna,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sekretariat, kancelaria, obsługa prawna) na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potrzeby funkcjonowania jednostki,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B83129">
        <w:rPr>
          <w:rStyle w:val="normaltextrun"/>
          <w:rFonts w:ascii="Lato" w:hAnsi="Lato" w:cstheme="minorHAnsi"/>
          <w:sz w:val="20"/>
          <w:szCs w:val="20"/>
        </w:rPr>
        <w:t xml:space="preserve">w zakresie niezbędnym do </w:t>
      </w:r>
      <w:r w:rsidR="00167F45">
        <w:rPr>
          <w:rStyle w:val="normaltextrun"/>
          <w:rFonts w:ascii="Lato" w:hAnsi="Lato" w:cstheme="minorHAnsi"/>
          <w:sz w:val="20"/>
          <w:szCs w:val="20"/>
        </w:rPr>
        <w:t xml:space="preserve">zapewnienia </w:t>
      </w:r>
      <w:r w:rsidR="00B83129">
        <w:rPr>
          <w:rStyle w:val="normaltextrun"/>
          <w:rFonts w:ascii="Lato" w:hAnsi="Lato" w:cstheme="minorHAnsi"/>
          <w:sz w:val="20"/>
          <w:szCs w:val="20"/>
        </w:rPr>
        <w:t>realizacji przedsięwzięcia,</w:t>
      </w:r>
    </w:p>
    <w:p w14:paraId="55986FC2" w14:textId="6128C7F8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wydatki związane z otworzeniem lub prowadzeniem wyodrębnionego na rzecz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subkonta na rachunku płatniczym lub odrębnego rachunku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płatniczego,</w:t>
      </w:r>
    </w:p>
    <w:p w14:paraId="15DCE7D8" w14:textId="23B05DEC" w:rsidR="00B93B3A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lastRenderedPageBreak/>
        <w:t>opłaty za energię elektryczną, cieplną, gazową i wodę, opłaty przesyłowe,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opłaty za odprowadzanie ścieków, opłaty za wywóz odpadów komunalnych,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usług pocztowych, telefonicznych, internetowych, kurierskich,</w:t>
      </w:r>
      <w:r w:rsidR="00330366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materiałów biurowych i artykułów piśmienniczych,</w:t>
      </w:r>
      <w:r w:rsidR="000512E7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sprzątania pomieszczeń</w:t>
      </w:r>
      <w:r w:rsidR="000512E7" w:rsidRPr="00F204B6">
        <w:rPr>
          <w:rStyle w:val="normaltextrun"/>
          <w:rFonts w:ascii="Lato" w:hAnsi="Lato" w:cstheme="minorHAnsi"/>
          <w:sz w:val="20"/>
          <w:szCs w:val="20"/>
        </w:rPr>
        <w:t>.</w:t>
      </w:r>
    </w:p>
    <w:p w14:paraId="669CCCF1" w14:textId="63268636" w:rsidR="00BD73FD" w:rsidRPr="00F204B6" w:rsidRDefault="000512E7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ozliczenie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kosztów pośrednich przedsięwzięcia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następuje 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wg uproszczonej metody rozliczania wydatków, tj</w:t>
      </w:r>
      <w:r w:rsidR="005B3D9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stawki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ryczałt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owej</w:t>
      </w:r>
      <w:r w:rsidR="00B87B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1775D8D3" w14:textId="48CDA114" w:rsidR="00D87951" w:rsidRPr="00F204B6" w:rsidRDefault="00B87BD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Stawka ryczałtowa stanowi określon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ą, </w:t>
      </w:r>
      <w:r w:rsidR="00D65665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we wniosku o objęcie przedsięwzięcia wsparciem 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stałą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wartość procentową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obliczaną na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podstawie rzeczywiście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poniesionych wydatk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ów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kwalifikowalnych bezpośrednich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Stawka ryczałtowa </w:t>
      </w:r>
      <w:r w:rsidR="0033036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dla kosztów pośrednich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została określona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wysokości </w:t>
      </w:r>
      <w:r w:rsidR="006F2BB3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przekraczającej </w:t>
      </w:r>
      <w:r w:rsidR="0020157C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BE52B3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 </w:t>
      </w:r>
      <w:r w:rsidR="00D8795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%</w:t>
      </w:r>
      <w:r w:rsidR="00035C8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sumy wydatków bezpośrednich.</w:t>
      </w:r>
    </w:p>
    <w:p w14:paraId="761ECD9A" w14:textId="10D051AD" w:rsidR="00E322F8" w:rsidRPr="00F204B6" w:rsidRDefault="00E322F8" w:rsidP="00B87BD6">
      <w:pPr>
        <w:spacing w:before="120" w:after="120" w:line="360" w:lineRule="auto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</w:p>
    <w:sectPr w:rsidR="00E322F8" w:rsidRPr="00F204B6" w:rsidSect="008420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345DB" w14:textId="77777777" w:rsidR="00682852" w:rsidRDefault="00682852" w:rsidP="00B8406D">
      <w:pPr>
        <w:spacing w:after="0" w:line="240" w:lineRule="auto"/>
      </w:pPr>
      <w:r>
        <w:separator/>
      </w:r>
    </w:p>
  </w:endnote>
  <w:endnote w:type="continuationSeparator" w:id="0">
    <w:p w14:paraId="0053A4CF" w14:textId="77777777" w:rsidR="00682852" w:rsidRDefault="00682852" w:rsidP="00B8406D">
      <w:pPr>
        <w:spacing w:after="0" w:line="240" w:lineRule="auto"/>
      </w:pPr>
      <w:r>
        <w:continuationSeparator/>
      </w:r>
    </w:p>
  </w:endnote>
  <w:endnote w:type="continuationNotice" w:id="1">
    <w:p w14:paraId="52833844" w14:textId="77777777" w:rsidR="00682852" w:rsidRDefault="006828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1FBD" w14:textId="77777777" w:rsidR="000F6B4C" w:rsidRDefault="000F6B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910174"/>
      <w:docPartObj>
        <w:docPartGallery w:val="Page Numbers (Bottom of Page)"/>
        <w:docPartUnique/>
      </w:docPartObj>
    </w:sdtPr>
    <w:sdtEndPr/>
    <w:sdtContent>
      <w:p w14:paraId="5DEF87F8" w14:textId="38F2A7B7" w:rsidR="006A2036" w:rsidRDefault="006A20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99F78" w14:textId="77777777" w:rsidR="006A2036" w:rsidRDefault="006A20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8546" w14:textId="77777777" w:rsidR="000F6B4C" w:rsidRDefault="000F6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DA5D" w14:textId="77777777" w:rsidR="00682852" w:rsidRDefault="00682852" w:rsidP="00B8406D">
      <w:pPr>
        <w:spacing w:after="0" w:line="240" w:lineRule="auto"/>
      </w:pPr>
      <w:r>
        <w:separator/>
      </w:r>
    </w:p>
  </w:footnote>
  <w:footnote w:type="continuationSeparator" w:id="0">
    <w:p w14:paraId="5ACFFFE9" w14:textId="77777777" w:rsidR="00682852" w:rsidRDefault="00682852" w:rsidP="00B8406D">
      <w:pPr>
        <w:spacing w:after="0" w:line="240" w:lineRule="auto"/>
      </w:pPr>
      <w:r>
        <w:continuationSeparator/>
      </w:r>
    </w:p>
  </w:footnote>
  <w:footnote w:type="continuationNotice" w:id="1">
    <w:p w14:paraId="34D83B88" w14:textId="77777777" w:rsidR="00682852" w:rsidRDefault="006828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F439" w14:textId="77777777" w:rsidR="000F6B4C" w:rsidRDefault="000F6B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3C54" w14:textId="45C5863C" w:rsidR="00B93983" w:rsidRDefault="000F6B4C">
    <w:pPr>
      <w:pStyle w:val="Nagwek"/>
    </w:pPr>
    <w:r>
      <w:rPr>
        <w:noProof/>
      </w:rPr>
      <w:drawing>
        <wp:inline distT="0" distB="0" distL="0" distR="0" wp14:anchorId="3B3C2623" wp14:editId="351BC0DB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5332D" w14:textId="77777777" w:rsidR="000F6B4C" w:rsidRDefault="000F6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4F66"/>
    <w:multiLevelType w:val="hybridMultilevel"/>
    <w:tmpl w:val="B1BE7092"/>
    <w:lvl w:ilvl="0" w:tplc="F59016D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A10E7"/>
    <w:multiLevelType w:val="hybridMultilevel"/>
    <w:tmpl w:val="87961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4608"/>
    <w:multiLevelType w:val="hybridMultilevel"/>
    <w:tmpl w:val="E02C91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5C5A86"/>
    <w:multiLevelType w:val="hybridMultilevel"/>
    <w:tmpl w:val="3FA28AE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06AB9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4" w15:restartNumberingAfterBreak="0">
    <w:nsid w:val="137A5424"/>
    <w:multiLevelType w:val="hybridMultilevel"/>
    <w:tmpl w:val="0F64E6CA"/>
    <w:lvl w:ilvl="0" w:tplc="6332FB4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C61C1"/>
    <w:multiLevelType w:val="multilevel"/>
    <w:tmpl w:val="CF266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Theme="minorEastAsia" w:hAnsi="Lato" w:cs="Arial"/>
        <w:b w:val="0"/>
        <w:bCs/>
        <w:i w:val="0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00342B2"/>
    <w:multiLevelType w:val="hybridMultilevel"/>
    <w:tmpl w:val="AF9C7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B7CE2"/>
    <w:multiLevelType w:val="hybridMultilevel"/>
    <w:tmpl w:val="F6245C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475A5"/>
    <w:multiLevelType w:val="hybridMultilevel"/>
    <w:tmpl w:val="024C7028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35741"/>
    <w:multiLevelType w:val="hybridMultilevel"/>
    <w:tmpl w:val="2F1248D6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BB71E8"/>
    <w:multiLevelType w:val="hybridMultilevel"/>
    <w:tmpl w:val="F8EE6928"/>
    <w:lvl w:ilvl="0" w:tplc="93603168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512E5"/>
    <w:multiLevelType w:val="hybridMultilevel"/>
    <w:tmpl w:val="7D000A48"/>
    <w:lvl w:ilvl="0" w:tplc="0415001B">
      <w:start w:val="1"/>
      <w:numFmt w:val="lowerRoman"/>
      <w:lvlText w:val="%1."/>
      <w:lvlJc w:val="right"/>
      <w:pPr>
        <w:ind w:left="2110" w:hanging="360"/>
      </w:pPr>
    </w:lvl>
    <w:lvl w:ilvl="1" w:tplc="0415000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2" w15:restartNumberingAfterBreak="0">
    <w:nsid w:val="30155384"/>
    <w:multiLevelType w:val="hybridMultilevel"/>
    <w:tmpl w:val="D8943674"/>
    <w:lvl w:ilvl="0" w:tplc="60C287C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B3EFD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D742C3"/>
    <w:multiLevelType w:val="hybridMultilevel"/>
    <w:tmpl w:val="E13C4E1A"/>
    <w:lvl w:ilvl="0" w:tplc="B7083E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63782"/>
    <w:multiLevelType w:val="hybridMultilevel"/>
    <w:tmpl w:val="71A2D4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509B9"/>
    <w:multiLevelType w:val="hybridMultilevel"/>
    <w:tmpl w:val="83748E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DB1D38"/>
    <w:multiLevelType w:val="hybridMultilevel"/>
    <w:tmpl w:val="D108BF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83834"/>
    <w:multiLevelType w:val="hybridMultilevel"/>
    <w:tmpl w:val="148EF6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2F00B9"/>
    <w:multiLevelType w:val="hybridMultilevel"/>
    <w:tmpl w:val="C504D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303C1"/>
    <w:multiLevelType w:val="hybridMultilevel"/>
    <w:tmpl w:val="5596AE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83ED9"/>
    <w:multiLevelType w:val="hybridMultilevel"/>
    <w:tmpl w:val="CE2ABA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AA78AF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4B1443"/>
    <w:multiLevelType w:val="hybridMultilevel"/>
    <w:tmpl w:val="A9747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A61491"/>
    <w:multiLevelType w:val="hybridMultilevel"/>
    <w:tmpl w:val="27A8CED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  <w:sz w:val="20"/>
        <w:szCs w:val="20"/>
      </w:rPr>
    </w:lvl>
    <w:lvl w:ilvl="1" w:tplc="B17A11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6222056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6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F1105"/>
    <w:multiLevelType w:val="hybridMultilevel"/>
    <w:tmpl w:val="7C343C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EA6B5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 w15:restartNumberingAfterBreak="0">
    <w:nsid w:val="702D2BF8"/>
    <w:multiLevelType w:val="hybridMultilevel"/>
    <w:tmpl w:val="148EF6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DE775E"/>
    <w:multiLevelType w:val="hybridMultilevel"/>
    <w:tmpl w:val="C0B8D9BC"/>
    <w:lvl w:ilvl="0" w:tplc="9B9AFFE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D18B4"/>
    <w:multiLevelType w:val="hybridMultilevel"/>
    <w:tmpl w:val="2EEC5CE6"/>
    <w:lvl w:ilvl="0" w:tplc="409C0B2C">
      <w:start w:val="1"/>
      <w:numFmt w:val="decimal"/>
      <w:lvlText w:val="%1)"/>
      <w:lvlJc w:val="left"/>
      <w:pPr>
        <w:ind w:left="7165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27E5F"/>
    <w:multiLevelType w:val="hybridMultilevel"/>
    <w:tmpl w:val="54E6828E"/>
    <w:lvl w:ilvl="0" w:tplc="1C680E2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8597A"/>
    <w:multiLevelType w:val="hybridMultilevel"/>
    <w:tmpl w:val="B51A5304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 w15:restartNumberingAfterBreak="0">
    <w:nsid w:val="7B86226F"/>
    <w:multiLevelType w:val="hybridMultilevel"/>
    <w:tmpl w:val="873C8C2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943028"/>
    <w:multiLevelType w:val="hybridMultilevel"/>
    <w:tmpl w:val="E50809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5189435">
    <w:abstractNumId w:val="23"/>
  </w:num>
  <w:num w:numId="2" w16cid:durableId="1799491469">
    <w:abstractNumId w:val="26"/>
  </w:num>
  <w:num w:numId="3" w16cid:durableId="1396591269">
    <w:abstractNumId w:val="33"/>
  </w:num>
  <w:num w:numId="4" w16cid:durableId="1861314880">
    <w:abstractNumId w:val="0"/>
  </w:num>
  <w:num w:numId="5" w16cid:durableId="540245184">
    <w:abstractNumId w:val="4"/>
  </w:num>
  <w:num w:numId="6" w16cid:durableId="1191189856">
    <w:abstractNumId w:val="12"/>
  </w:num>
  <w:num w:numId="7" w16cid:durableId="1035883252">
    <w:abstractNumId w:val="10"/>
  </w:num>
  <w:num w:numId="8" w16cid:durableId="2039312757">
    <w:abstractNumId w:val="14"/>
  </w:num>
  <w:num w:numId="9" w16cid:durableId="1060712189">
    <w:abstractNumId w:val="21"/>
  </w:num>
  <w:num w:numId="10" w16cid:durableId="52042908">
    <w:abstractNumId w:val="16"/>
  </w:num>
  <w:num w:numId="11" w16cid:durableId="755125931">
    <w:abstractNumId w:val="27"/>
  </w:num>
  <w:num w:numId="12" w16cid:durableId="612127939">
    <w:abstractNumId w:val="17"/>
  </w:num>
  <w:num w:numId="13" w16cid:durableId="1625961066">
    <w:abstractNumId w:val="31"/>
  </w:num>
  <w:num w:numId="14" w16cid:durableId="1583875697">
    <w:abstractNumId w:val="1"/>
  </w:num>
  <w:num w:numId="15" w16cid:durableId="676082872">
    <w:abstractNumId w:val="36"/>
  </w:num>
  <w:num w:numId="16" w16cid:durableId="919757938">
    <w:abstractNumId w:val="15"/>
  </w:num>
  <w:num w:numId="17" w16cid:durableId="1833644717">
    <w:abstractNumId w:val="19"/>
  </w:num>
  <w:num w:numId="18" w16cid:durableId="1431195222">
    <w:abstractNumId w:val="18"/>
  </w:num>
  <w:num w:numId="19" w16cid:durableId="1746680234">
    <w:abstractNumId w:val="32"/>
  </w:num>
  <w:num w:numId="20" w16cid:durableId="453644609">
    <w:abstractNumId w:val="22"/>
  </w:num>
  <w:num w:numId="21" w16cid:durableId="185950196">
    <w:abstractNumId w:val="28"/>
  </w:num>
  <w:num w:numId="22" w16cid:durableId="1711493139">
    <w:abstractNumId w:val="9"/>
  </w:num>
  <w:num w:numId="23" w16cid:durableId="840924272">
    <w:abstractNumId w:val="8"/>
  </w:num>
  <w:num w:numId="24" w16cid:durableId="5182658">
    <w:abstractNumId w:val="29"/>
  </w:num>
  <w:num w:numId="25" w16cid:durableId="1984656806">
    <w:abstractNumId w:val="11"/>
  </w:num>
  <w:num w:numId="26" w16cid:durableId="2069112669">
    <w:abstractNumId w:val="5"/>
  </w:num>
  <w:num w:numId="27" w16cid:durableId="613286739">
    <w:abstractNumId w:val="25"/>
  </w:num>
  <w:num w:numId="28" w16cid:durableId="799346929">
    <w:abstractNumId w:val="20"/>
  </w:num>
  <w:num w:numId="29" w16cid:durableId="922109294">
    <w:abstractNumId w:val="13"/>
  </w:num>
  <w:num w:numId="30" w16cid:durableId="946043640">
    <w:abstractNumId w:val="35"/>
  </w:num>
  <w:num w:numId="31" w16cid:durableId="920867691">
    <w:abstractNumId w:val="7"/>
  </w:num>
  <w:num w:numId="32" w16cid:durableId="1121386596">
    <w:abstractNumId w:val="24"/>
  </w:num>
  <w:num w:numId="33" w16cid:durableId="954605722">
    <w:abstractNumId w:val="30"/>
  </w:num>
  <w:num w:numId="34" w16cid:durableId="479201022">
    <w:abstractNumId w:val="34"/>
  </w:num>
  <w:num w:numId="35" w16cid:durableId="496269914">
    <w:abstractNumId w:val="3"/>
  </w:num>
  <w:num w:numId="36" w16cid:durableId="877815701">
    <w:abstractNumId w:val="2"/>
  </w:num>
  <w:num w:numId="37" w16cid:durableId="42677798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E9"/>
    <w:rsid w:val="0000128A"/>
    <w:rsid w:val="00002477"/>
    <w:rsid w:val="0000539F"/>
    <w:rsid w:val="000058A7"/>
    <w:rsid w:val="00007CCB"/>
    <w:rsid w:val="00007CDD"/>
    <w:rsid w:val="00011456"/>
    <w:rsid w:val="000120B1"/>
    <w:rsid w:val="00015C85"/>
    <w:rsid w:val="000204AC"/>
    <w:rsid w:val="00025990"/>
    <w:rsid w:val="00030868"/>
    <w:rsid w:val="00030C74"/>
    <w:rsid w:val="00035517"/>
    <w:rsid w:val="00035962"/>
    <w:rsid w:val="00035C89"/>
    <w:rsid w:val="0003633F"/>
    <w:rsid w:val="00042A43"/>
    <w:rsid w:val="00043CD6"/>
    <w:rsid w:val="00047383"/>
    <w:rsid w:val="000504CF"/>
    <w:rsid w:val="000512E7"/>
    <w:rsid w:val="000565C8"/>
    <w:rsid w:val="000602C7"/>
    <w:rsid w:val="0006143F"/>
    <w:rsid w:val="00065443"/>
    <w:rsid w:val="000703DF"/>
    <w:rsid w:val="00071C94"/>
    <w:rsid w:val="00072304"/>
    <w:rsid w:val="000841F4"/>
    <w:rsid w:val="00084513"/>
    <w:rsid w:val="000861EC"/>
    <w:rsid w:val="00087B5C"/>
    <w:rsid w:val="000966A2"/>
    <w:rsid w:val="000A3ACA"/>
    <w:rsid w:val="000A3BFA"/>
    <w:rsid w:val="000A7961"/>
    <w:rsid w:val="000B13CE"/>
    <w:rsid w:val="000C10ED"/>
    <w:rsid w:val="000D4934"/>
    <w:rsid w:val="000E07B8"/>
    <w:rsid w:val="000E4DA3"/>
    <w:rsid w:val="000E5999"/>
    <w:rsid w:val="000E6515"/>
    <w:rsid w:val="000E7038"/>
    <w:rsid w:val="000F6B4C"/>
    <w:rsid w:val="001000A7"/>
    <w:rsid w:val="00100684"/>
    <w:rsid w:val="00101291"/>
    <w:rsid w:val="0010138D"/>
    <w:rsid w:val="00101A3D"/>
    <w:rsid w:val="00101F16"/>
    <w:rsid w:val="00103459"/>
    <w:rsid w:val="0010565A"/>
    <w:rsid w:val="00124CF9"/>
    <w:rsid w:val="00131952"/>
    <w:rsid w:val="00132185"/>
    <w:rsid w:val="00135CC2"/>
    <w:rsid w:val="00136B1E"/>
    <w:rsid w:val="001373E9"/>
    <w:rsid w:val="0014554F"/>
    <w:rsid w:val="00152811"/>
    <w:rsid w:val="00162ECD"/>
    <w:rsid w:val="00162FE9"/>
    <w:rsid w:val="00167F45"/>
    <w:rsid w:val="00180AAE"/>
    <w:rsid w:val="00182549"/>
    <w:rsid w:val="00182594"/>
    <w:rsid w:val="00184EFE"/>
    <w:rsid w:val="00190754"/>
    <w:rsid w:val="001975A9"/>
    <w:rsid w:val="001A01BA"/>
    <w:rsid w:val="001A31D2"/>
    <w:rsid w:val="001A48A5"/>
    <w:rsid w:val="001B1F67"/>
    <w:rsid w:val="001B2BF6"/>
    <w:rsid w:val="001B64D2"/>
    <w:rsid w:val="001C4566"/>
    <w:rsid w:val="001C45B2"/>
    <w:rsid w:val="001C4FBF"/>
    <w:rsid w:val="001D3D91"/>
    <w:rsid w:val="001E1010"/>
    <w:rsid w:val="001E3C68"/>
    <w:rsid w:val="001E4D86"/>
    <w:rsid w:val="001F3207"/>
    <w:rsid w:val="00200713"/>
    <w:rsid w:val="0020157C"/>
    <w:rsid w:val="00202A9E"/>
    <w:rsid w:val="00204E95"/>
    <w:rsid w:val="0021212F"/>
    <w:rsid w:val="00214393"/>
    <w:rsid w:val="00216C55"/>
    <w:rsid w:val="0021797B"/>
    <w:rsid w:val="002234D1"/>
    <w:rsid w:val="002335AF"/>
    <w:rsid w:val="00236EF9"/>
    <w:rsid w:val="00245C6D"/>
    <w:rsid w:val="00247F0D"/>
    <w:rsid w:val="00247F86"/>
    <w:rsid w:val="00257937"/>
    <w:rsid w:val="00262A51"/>
    <w:rsid w:val="00264696"/>
    <w:rsid w:val="00265E5D"/>
    <w:rsid w:val="00272A44"/>
    <w:rsid w:val="002842F6"/>
    <w:rsid w:val="00287312"/>
    <w:rsid w:val="002876A4"/>
    <w:rsid w:val="00293032"/>
    <w:rsid w:val="00293157"/>
    <w:rsid w:val="00293CBF"/>
    <w:rsid w:val="00293D14"/>
    <w:rsid w:val="00295BDB"/>
    <w:rsid w:val="002A1392"/>
    <w:rsid w:val="002B2887"/>
    <w:rsid w:val="002B75DF"/>
    <w:rsid w:val="002C46E4"/>
    <w:rsid w:val="002C5873"/>
    <w:rsid w:val="002C71A6"/>
    <w:rsid w:val="002D0F6D"/>
    <w:rsid w:val="002E0A71"/>
    <w:rsid w:val="002E6A35"/>
    <w:rsid w:val="002E774B"/>
    <w:rsid w:val="002F2874"/>
    <w:rsid w:val="002F417D"/>
    <w:rsid w:val="002F694B"/>
    <w:rsid w:val="0030225F"/>
    <w:rsid w:val="003056A9"/>
    <w:rsid w:val="00312A75"/>
    <w:rsid w:val="0031390E"/>
    <w:rsid w:val="0032083A"/>
    <w:rsid w:val="00322A48"/>
    <w:rsid w:val="00330366"/>
    <w:rsid w:val="003325BD"/>
    <w:rsid w:val="00333E81"/>
    <w:rsid w:val="003359D4"/>
    <w:rsid w:val="003532A0"/>
    <w:rsid w:val="003606B3"/>
    <w:rsid w:val="00363782"/>
    <w:rsid w:val="0036501C"/>
    <w:rsid w:val="00387D4D"/>
    <w:rsid w:val="00390E60"/>
    <w:rsid w:val="00392951"/>
    <w:rsid w:val="00395E96"/>
    <w:rsid w:val="00396222"/>
    <w:rsid w:val="003964D0"/>
    <w:rsid w:val="003A2E7A"/>
    <w:rsid w:val="003B3FFE"/>
    <w:rsid w:val="003B5DAE"/>
    <w:rsid w:val="003C2E57"/>
    <w:rsid w:val="003C56C0"/>
    <w:rsid w:val="003C6069"/>
    <w:rsid w:val="003C60BC"/>
    <w:rsid w:val="003D1EF4"/>
    <w:rsid w:val="003D66C7"/>
    <w:rsid w:val="003D7BE2"/>
    <w:rsid w:val="003E062D"/>
    <w:rsid w:val="003E66F5"/>
    <w:rsid w:val="003E783D"/>
    <w:rsid w:val="003F0007"/>
    <w:rsid w:val="003F0172"/>
    <w:rsid w:val="003F4EB4"/>
    <w:rsid w:val="003F59F2"/>
    <w:rsid w:val="0040221C"/>
    <w:rsid w:val="00403A94"/>
    <w:rsid w:val="004047C9"/>
    <w:rsid w:val="0040693F"/>
    <w:rsid w:val="00407EE9"/>
    <w:rsid w:val="00407F4C"/>
    <w:rsid w:val="00412EB1"/>
    <w:rsid w:val="00416200"/>
    <w:rsid w:val="00417C8D"/>
    <w:rsid w:val="00422296"/>
    <w:rsid w:val="00424F5B"/>
    <w:rsid w:val="00426C72"/>
    <w:rsid w:val="00426F9B"/>
    <w:rsid w:val="00432B7B"/>
    <w:rsid w:val="004350FB"/>
    <w:rsid w:val="0044559C"/>
    <w:rsid w:val="00445D54"/>
    <w:rsid w:val="004522C5"/>
    <w:rsid w:val="00453641"/>
    <w:rsid w:val="00455BE8"/>
    <w:rsid w:val="004615F3"/>
    <w:rsid w:val="00471BB5"/>
    <w:rsid w:val="004727D2"/>
    <w:rsid w:val="004753B7"/>
    <w:rsid w:val="00480C6B"/>
    <w:rsid w:val="0048229C"/>
    <w:rsid w:val="00490D11"/>
    <w:rsid w:val="004A1CBC"/>
    <w:rsid w:val="004A2882"/>
    <w:rsid w:val="004A5131"/>
    <w:rsid w:val="004B06A7"/>
    <w:rsid w:val="004B0F33"/>
    <w:rsid w:val="004B1C62"/>
    <w:rsid w:val="004B1D64"/>
    <w:rsid w:val="004C36DF"/>
    <w:rsid w:val="004C4A87"/>
    <w:rsid w:val="004D166A"/>
    <w:rsid w:val="004D21C2"/>
    <w:rsid w:val="004D6059"/>
    <w:rsid w:val="004D6C3E"/>
    <w:rsid w:val="004E4B18"/>
    <w:rsid w:val="00501BBC"/>
    <w:rsid w:val="00503C3E"/>
    <w:rsid w:val="00504896"/>
    <w:rsid w:val="00504902"/>
    <w:rsid w:val="00507583"/>
    <w:rsid w:val="00510912"/>
    <w:rsid w:val="00514D62"/>
    <w:rsid w:val="00516A76"/>
    <w:rsid w:val="00521E15"/>
    <w:rsid w:val="00525826"/>
    <w:rsid w:val="00542D84"/>
    <w:rsid w:val="00554807"/>
    <w:rsid w:val="005576E0"/>
    <w:rsid w:val="0056034E"/>
    <w:rsid w:val="00566809"/>
    <w:rsid w:val="0057069F"/>
    <w:rsid w:val="00570746"/>
    <w:rsid w:val="00573522"/>
    <w:rsid w:val="00593A3B"/>
    <w:rsid w:val="00593C77"/>
    <w:rsid w:val="00594FD6"/>
    <w:rsid w:val="005A0FF7"/>
    <w:rsid w:val="005A3518"/>
    <w:rsid w:val="005A3EA2"/>
    <w:rsid w:val="005A7FF2"/>
    <w:rsid w:val="005B0EF8"/>
    <w:rsid w:val="005B1601"/>
    <w:rsid w:val="005B355B"/>
    <w:rsid w:val="005B3D95"/>
    <w:rsid w:val="005B45D8"/>
    <w:rsid w:val="005C29A3"/>
    <w:rsid w:val="005D2252"/>
    <w:rsid w:val="005D3050"/>
    <w:rsid w:val="005D3521"/>
    <w:rsid w:val="005D4B95"/>
    <w:rsid w:val="005D52D9"/>
    <w:rsid w:val="005D6230"/>
    <w:rsid w:val="005D7892"/>
    <w:rsid w:val="005E06B2"/>
    <w:rsid w:val="005F04A2"/>
    <w:rsid w:val="005F226E"/>
    <w:rsid w:val="005F3661"/>
    <w:rsid w:val="005F51A1"/>
    <w:rsid w:val="00600B78"/>
    <w:rsid w:val="00601502"/>
    <w:rsid w:val="00601A21"/>
    <w:rsid w:val="00602CFB"/>
    <w:rsid w:val="00615581"/>
    <w:rsid w:val="00621601"/>
    <w:rsid w:val="006222E0"/>
    <w:rsid w:val="00627221"/>
    <w:rsid w:val="00631B8C"/>
    <w:rsid w:val="00635620"/>
    <w:rsid w:val="006359B5"/>
    <w:rsid w:val="00635C71"/>
    <w:rsid w:val="006454BD"/>
    <w:rsid w:val="006523C5"/>
    <w:rsid w:val="00652B39"/>
    <w:rsid w:val="006557F4"/>
    <w:rsid w:val="0066227A"/>
    <w:rsid w:val="00664A57"/>
    <w:rsid w:val="0067139E"/>
    <w:rsid w:val="00671FF7"/>
    <w:rsid w:val="006812E0"/>
    <w:rsid w:val="00682641"/>
    <w:rsid w:val="00682852"/>
    <w:rsid w:val="0068713A"/>
    <w:rsid w:val="006900F6"/>
    <w:rsid w:val="0069019A"/>
    <w:rsid w:val="00695399"/>
    <w:rsid w:val="00696CB9"/>
    <w:rsid w:val="006A03B9"/>
    <w:rsid w:val="006A2036"/>
    <w:rsid w:val="006A23E0"/>
    <w:rsid w:val="006A2D4C"/>
    <w:rsid w:val="006A4B6B"/>
    <w:rsid w:val="006B48AC"/>
    <w:rsid w:val="006B48C1"/>
    <w:rsid w:val="006B5265"/>
    <w:rsid w:val="006B53D9"/>
    <w:rsid w:val="006B73BC"/>
    <w:rsid w:val="006C02A5"/>
    <w:rsid w:val="006C1DC0"/>
    <w:rsid w:val="006C3188"/>
    <w:rsid w:val="006C75CC"/>
    <w:rsid w:val="006D2254"/>
    <w:rsid w:val="006D27ED"/>
    <w:rsid w:val="006E3734"/>
    <w:rsid w:val="006F0D16"/>
    <w:rsid w:val="006F2BB3"/>
    <w:rsid w:val="006F2C2F"/>
    <w:rsid w:val="006F3179"/>
    <w:rsid w:val="00704D75"/>
    <w:rsid w:val="0070509B"/>
    <w:rsid w:val="00705468"/>
    <w:rsid w:val="00711B92"/>
    <w:rsid w:val="00715006"/>
    <w:rsid w:val="007169DD"/>
    <w:rsid w:val="00723872"/>
    <w:rsid w:val="007273FE"/>
    <w:rsid w:val="00733FF0"/>
    <w:rsid w:val="007402A7"/>
    <w:rsid w:val="00742126"/>
    <w:rsid w:val="007447A5"/>
    <w:rsid w:val="00745343"/>
    <w:rsid w:val="00745405"/>
    <w:rsid w:val="00755280"/>
    <w:rsid w:val="007566DC"/>
    <w:rsid w:val="007614AB"/>
    <w:rsid w:val="007630C4"/>
    <w:rsid w:val="007658BD"/>
    <w:rsid w:val="007713D1"/>
    <w:rsid w:val="00773286"/>
    <w:rsid w:val="00777775"/>
    <w:rsid w:val="00777C7F"/>
    <w:rsid w:val="00783317"/>
    <w:rsid w:val="00786604"/>
    <w:rsid w:val="00787451"/>
    <w:rsid w:val="007966C9"/>
    <w:rsid w:val="0079704E"/>
    <w:rsid w:val="007A0B96"/>
    <w:rsid w:val="007A10F0"/>
    <w:rsid w:val="007A62FB"/>
    <w:rsid w:val="007B24EF"/>
    <w:rsid w:val="007B3107"/>
    <w:rsid w:val="007B6F27"/>
    <w:rsid w:val="007C177B"/>
    <w:rsid w:val="007C45FB"/>
    <w:rsid w:val="007C7615"/>
    <w:rsid w:val="007D1823"/>
    <w:rsid w:val="007D2B28"/>
    <w:rsid w:val="007E07E8"/>
    <w:rsid w:val="007E3596"/>
    <w:rsid w:val="007E4AC3"/>
    <w:rsid w:val="007E72A8"/>
    <w:rsid w:val="007F78A8"/>
    <w:rsid w:val="0080692B"/>
    <w:rsid w:val="00807A44"/>
    <w:rsid w:val="00811A76"/>
    <w:rsid w:val="0081250E"/>
    <w:rsid w:val="00815A96"/>
    <w:rsid w:val="00815EFE"/>
    <w:rsid w:val="00824E8E"/>
    <w:rsid w:val="00826836"/>
    <w:rsid w:val="00827B6F"/>
    <w:rsid w:val="00835167"/>
    <w:rsid w:val="0083626B"/>
    <w:rsid w:val="00841543"/>
    <w:rsid w:val="008420FC"/>
    <w:rsid w:val="00842C80"/>
    <w:rsid w:val="00843E03"/>
    <w:rsid w:val="00844D21"/>
    <w:rsid w:val="0084590D"/>
    <w:rsid w:val="008507E1"/>
    <w:rsid w:val="00853563"/>
    <w:rsid w:val="00863D96"/>
    <w:rsid w:val="00864C3B"/>
    <w:rsid w:val="00875DDF"/>
    <w:rsid w:val="0088054E"/>
    <w:rsid w:val="008839C6"/>
    <w:rsid w:val="00890171"/>
    <w:rsid w:val="00891127"/>
    <w:rsid w:val="0089511F"/>
    <w:rsid w:val="00895D7E"/>
    <w:rsid w:val="008963FD"/>
    <w:rsid w:val="008977A5"/>
    <w:rsid w:val="008A2872"/>
    <w:rsid w:val="008A367E"/>
    <w:rsid w:val="008A3EC1"/>
    <w:rsid w:val="008A454C"/>
    <w:rsid w:val="008A4735"/>
    <w:rsid w:val="008A52AB"/>
    <w:rsid w:val="008A698E"/>
    <w:rsid w:val="008A7FF7"/>
    <w:rsid w:val="008B09A6"/>
    <w:rsid w:val="008B0E97"/>
    <w:rsid w:val="008B23F8"/>
    <w:rsid w:val="008B55B8"/>
    <w:rsid w:val="008B5783"/>
    <w:rsid w:val="008C471D"/>
    <w:rsid w:val="008C475B"/>
    <w:rsid w:val="008C7ADA"/>
    <w:rsid w:val="008D22C8"/>
    <w:rsid w:val="008D2D41"/>
    <w:rsid w:val="008D3CE0"/>
    <w:rsid w:val="008D4847"/>
    <w:rsid w:val="008D4A63"/>
    <w:rsid w:val="008D7253"/>
    <w:rsid w:val="008D7639"/>
    <w:rsid w:val="008F6C20"/>
    <w:rsid w:val="00900DB4"/>
    <w:rsid w:val="00901AEF"/>
    <w:rsid w:val="009040D6"/>
    <w:rsid w:val="009061BD"/>
    <w:rsid w:val="00906464"/>
    <w:rsid w:val="00911CF0"/>
    <w:rsid w:val="00913277"/>
    <w:rsid w:val="0091740A"/>
    <w:rsid w:val="00926DF4"/>
    <w:rsid w:val="0092799C"/>
    <w:rsid w:val="00934E73"/>
    <w:rsid w:val="0094254D"/>
    <w:rsid w:val="009430CA"/>
    <w:rsid w:val="0094321F"/>
    <w:rsid w:val="009474F5"/>
    <w:rsid w:val="009518CE"/>
    <w:rsid w:val="00954A3E"/>
    <w:rsid w:val="00957377"/>
    <w:rsid w:val="00957C03"/>
    <w:rsid w:val="00957CBA"/>
    <w:rsid w:val="00967043"/>
    <w:rsid w:val="00970274"/>
    <w:rsid w:val="00974780"/>
    <w:rsid w:val="00974B39"/>
    <w:rsid w:val="0098296F"/>
    <w:rsid w:val="009844C1"/>
    <w:rsid w:val="00984C44"/>
    <w:rsid w:val="009905A3"/>
    <w:rsid w:val="00993A04"/>
    <w:rsid w:val="00997D36"/>
    <w:rsid w:val="009A3ECE"/>
    <w:rsid w:val="009A70E1"/>
    <w:rsid w:val="009B383D"/>
    <w:rsid w:val="009B4504"/>
    <w:rsid w:val="009B791F"/>
    <w:rsid w:val="009C14BE"/>
    <w:rsid w:val="009C4394"/>
    <w:rsid w:val="009D07E7"/>
    <w:rsid w:val="009D2F05"/>
    <w:rsid w:val="009D6A4B"/>
    <w:rsid w:val="009E19BB"/>
    <w:rsid w:val="009E7866"/>
    <w:rsid w:val="009F36EB"/>
    <w:rsid w:val="009F3F15"/>
    <w:rsid w:val="00A0208B"/>
    <w:rsid w:val="00A0533A"/>
    <w:rsid w:val="00A07836"/>
    <w:rsid w:val="00A12186"/>
    <w:rsid w:val="00A211A4"/>
    <w:rsid w:val="00A21815"/>
    <w:rsid w:val="00A30CAC"/>
    <w:rsid w:val="00A30E6D"/>
    <w:rsid w:val="00A310F5"/>
    <w:rsid w:val="00A528B1"/>
    <w:rsid w:val="00A53221"/>
    <w:rsid w:val="00A53CA3"/>
    <w:rsid w:val="00A57789"/>
    <w:rsid w:val="00A62A87"/>
    <w:rsid w:val="00A673F3"/>
    <w:rsid w:val="00A70685"/>
    <w:rsid w:val="00A71B14"/>
    <w:rsid w:val="00A76739"/>
    <w:rsid w:val="00A805F2"/>
    <w:rsid w:val="00A824CA"/>
    <w:rsid w:val="00A825C8"/>
    <w:rsid w:val="00A83BC5"/>
    <w:rsid w:val="00A864E3"/>
    <w:rsid w:val="00A91C36"/>
    <w:rsid w:val="00A926E1"/>
    <w:rsid w:val="00AA36B7"/>
    <w:rsid w:val="00AA579C"/>
    <w:rsid w:val="00AA61C7"/>
    <w:rsid w:val="00AB0AF8"/>
    <w:rsid w:val="00AB0D0F"/>
    <w:rsid w:val="00AB7E14"/>
    <w:rsid w:val="00AC0DE8"/>
    <w:rsid w:val="00AC1A35"/>
    <w:rsid w:val="00AC429D"/>
    <w:rsid w:val="00AC7742"/>
    <w:rsid w:val="00AD0826"/>
    <w:rsid w:val="00AD2D66"/>
    <w:rsid w:val="00AE108B"/>
    <w:rsid w:val="00AE3B3E"/>
    <w:rsid w:val="00AE6B06"/>
    <w:rsid w:val="00AF1F52"/>
    <w:rsid w:val="00AF48EE"/>
    <w:rsid w:val="00AF7AA8"/>
    <w:rsid w:val="00B01A47"/>
    <w:rsid w:val="00B1052B"/>
    <w:rsid w:val="00B14E0F"/>
    <w:rsid w:val="00B14E96"/>
    <w:rsid w:val="00B16126"/>
    <w:rsid w:val="00B16AD1"/>
    <w:rsid w:val="00B26E75"/>
    <w:rsid w:val="00B32513"/>
    <w:rsid w:val="00B33046"/>
    <w:rsid w:val="00B338E4"/>
    <w:rsid w:val="00B362B6"/>
    <w:rsid w:val="00B3705F"/>
    <w:rsid w:val="00B44152"/>
    <w:rsid w:val="00B45EA0"/>
    <w:rsid w:val="00B515D6"/>
    <w:rsid w:val="00B531E0"/>
    <w:rsid w:val="00B53AAE"/>
    <w:rsid w:val="00B630F8"/>
    <w:rsid w:val="00B7083D"/>
    <w:rsid w:val="00B71813"/>
    <w:rsid w:val="00B7270C"/>
    <w:rsid w:val="00B7445A"/>
    <w:rsid w:val="00B74E6A"/>
    <w:rsid w:val="00B83129"/>
    <w:rsid w:val="00B8406D"/>
    <w:rsid w:val="00B850FD"/>
    <w:rsid w:val="00B86262"/>
    <w:rsid w:val="00B87010"/>
    <w:rsid w:val="00B87BD6"/>
    <w:rsid w:val="00B914F3"/>
    <w:rsid w:val="00B92807"/>
    <w:rsid w:val="00B92E2F"/>
    <w:rsid w:val="00B93983"/>
    <w:rsid w:val="00B93B3A"/>
    <w:rsid w:val="00B96311"/>
    <w:rsid w:val="00B968A1"/>
    <w:rsid w:val="00BA002E"/>
    <w:rsid w:val="00BA2D62"/>
    <w:rsid w:val="00BA2E48"/>
    <w:rsid w:val="00BA42A8"/>
    <w:rsid w:val="00BB195A"/>
    <w:rsid w:val="00BB3D41"/>
    <w:rsid w:val="00BB7C6E"/>
    <w:rsid w:val="00BC019F"/>
    <w:rsid w:val="00BC0BB0"/>
    <w:rsid w:val="00BC289A"/>
    <w:rsid w:val="00BC733A"/>
    <w:rsid w:val="00BD3B42"/>
    <w:rsid w:val="00BD3E12"/>
    <w:rsid w:val="00BD70C8"/>
    <w:rsid w:val="00BD73FD"/>
    <w:rsid w:val="00BE022F"/>
    <w:rsid w:val="00BE3214"/>
    <w:rsid w:val="00BE4FDF"/>
    <w:rsid w:val="00BE52B3"/>
    <w:rsid w:val="00BE6CF3"/>
    <w:rsid w:val="00BF3F7C"/>
    <w:rsid w:val="00BF4F13"/>
    <w:rsid w:val="00BF761F"/>
    <w:rsid w:val="00C015CF"/>
    <w:rsid w:val="00C10D65"/>
    <w:rsid w:val="00C148F1"/>
    <w:rsid w:val="00C20D83"/>
    <w:rsid w:val="00C21078"/>
    <w:rsid w:val="00C255B3"/>
    <w:rsid w:val="00C27223"/>
    <w:rsid w:val="00C30A10"/>
    <w:rsid w:val="00C32E2F"/>
    <w:rsid w:val="00C33169"/>
    <w:rsid w:val="00C37B2A"/>
    <w:rsid w:val="00C4066F"/>
    <w:rsid w:val="00C43843"/>
    <w:rsid w:val="00C43B37"/>
    <w:rsid w:val="00C51AAD"/>
    <w:rsid w:val="00C51FCE"/>
    <w:rsid w:val="00C5309E"/>
    <w:rsid w:val="00C54156"/>
    <w:rsid w:val="00C60F61"/>
    <w:rsid w:val="00C62C59"/>
    <w:rsid w:val="00C63392"/>
    <w:rsid w:val="00C74196"/>
    <w:rsid w:val="00C81B79"/>
    <w:rsid w:val="00C81D24"/>
    <w:rsid w:val="00C84551"/>
    <w:rsid w:val="00C853DB"/>
    <w:rsid w:val="00C87157"/>
    <w:rsid w:val="00C90318"/>
    <w:rsid w:val="00C92E4F"/>
    <w:rsid w:val="00C933A9"/>
    <w:rsid w:val="00C97BFF"/>
    <w:rsid w:val="00CA58C9"/>
    <w:rsid w:val="00CA6440"/>
    <w:rsid w:val="00CB4015"/>
    <w:rsid w:val="00CC08DB"/>
    <w:rsid w:val="00CD2072"/>
    <w:rsid w:val="00CE1007"/>
    <w:rsid w:val="00CE35A7"/>
    <w:rsid w:val="00CF15B9"/>
    <w:rsid w:val="00CF73F2"/>
    <w:rsid w:val="00D01CA2"/>
    <w:rsid w:val="00D02F3F"/>
    <w:rsid w:val="00D02F4F"/>
    <w:rsid w:val="00D036AB"/>
    <w:rsid w:val="00D037BA"/>
    <w:rsid w:val="00D04B14"/>
    <w:rsid w:val="00D07B1D"/>
    <w:rsid w:val="00D13991"/>
    <w:rsid w:val="00D1431C"/>
    <w:rsid w:val="00D275B2"/>
    <w:rsid w:val="00D3425F"/>
    <w:rsid w:val="00D34EA5"/>
    <w:rsid w:val="00D36D33"/>
    <w:rsid w:val="00D417EB"/>
    <w:rsid w:val="00D43A1F"/>
    <w:rsid w:val="00D464D2"/>
    <w:rsid w:val="00D471A0"/>
    <w:rsid w:val="00D51BEE"/>
    <w:rsid w:val="00D555D2"/>
    <w:rsid w:val="00D56CB3"/>
    <w:rsid w:val="00D618EE"/>
    <w:rsid w:val="00D61BCA"/>
    <w:rsid w:val="00D65665"/>
    <w:rsid w:val="00D71578"/>
    <w:rsid w:val="00D75E19"/>
    <w:rsid w:val="00D7776B"/>
    <w:rsid w:val="00D8214E"/>
    <w:rsid w:val="00D830E9"/>
    <w:rsid w:val="00D8360D"/>
    <w:rsid w:val="00D83AE8"/>
    <w:rsid w:val="00D8554A"/>
    <w:rsid w:val="00D87951"/>
    <w:rsid w:val="00D91F4F"/>
    <w:rsid w:val="00D92C25"/>
    <w:rsid w:val="00DA49A8"/>
    <w:rsid w:val="00DC521C"/>
    <w:rsid w:val="00DC5F8A"/>
    <w:rsid w:val="00DC7CC5"/>
    <w:rsid w:val="00DE1142"/>
    <w:rsid w:val="00DE284C"/>
    <w:rsid w:val="00DF07C9"/>
    <w:rsid w:val="00E00731"/>
    <w:rsid w:val="00E02D47"/>
    <w:rsid w:val="00E22952"/>
    <w:rsid w:val="00E25521"/>
    <w:rsid w:val="00E272E8"/>
    <w:rsid w:val="00E322F8"/>
    <w:rsid w:val="00E32840"/>
    <w:rsid w:val="00E32FBC"/>
    <w:rsid w:val="00E35592"/>
    <w:rsid w:val="00E40485"/>
    <w:rsid w:val="00E41BE7"/>
    <w:rsid w:val="00E42336"/>
    <w:rsid w:val="00E434A3"/>
    <w:rsid w:val="00E4649E"/>
    <w:rsid w:val="00E47AA0"/>
    <w:rsid w:val="00E5005E"/>
    <w:rsid w:val="00E550DA"/>
    <w:rsid w:val="00E55865"/>
    <w:rsid w:val="00E60284"/>
    <w:rsid w:val="00E716A7"/>
    <w:rsid w:val="00E770B6"/>
    <w:rsid w:val="00E779A1"/>
    <w:rsid w:val="00E9133F"/>
    <w:rsid w:val="00E96AB1"/>
    <w:rsid w:val="00EA1E54"/>
    <w:rsid w:val="00EA278D"/>
    <w:rsid w:val="00EB20A9"/>
    <w:rsid w:val="00EC0A20"/>
    <w:rsid w:val="00EC2CE2"/>
    <w:rsid w:val="00EC315B"/>
    <w:rsid w:val="00EC34BE"/>
    <w:rsid w:val="00EC5D3A"/>
    <w:rsid w:val="00ED2591"/>
    <w:rsid w:val="00ED29E2"/>
    <w:rsid w:val="00EE280E"/>
    <w:rsid w:val="00EE53F7"/>
    <w:rsid w:val="00EE7C0D"/>
    <w:rsid w:val="00EE7FA3"/>
    <w:rsid w:val="00EF0B02"/>
    <w:rsid w:val="00EF2084"/>
    <w:rsid w:val="00EF3ED3"/>
    <w:rsid w:val="00EF43CD"/>
    <w:rsid w:val="00EF4936"/>
    <w:rsid w:val="00EF74AB"/>
    <w:rsid w:val="00F06A14"/>
    <w:rsid w:val="00F125EA"/>
    <w:rsid w:val="00F13B15"/>
    <w:rsid w:val="00F204B6"/>
    <w:rsid w:val="00F303BA"/>
    <w:rsid w:val="00F305C9"/>
    <w:rsid w:val="00F30652"/>
    <w:rsid w:val="00F35019"/>
    <w:rsid w:val="00F36B93"/>
    <w:rsid w:val="00F37D17"/>
    <w:rsid w:val="00F40488"/>
    <w:rsid w:val="00F43B2C"/>
    <w:rsid w:val="00F50C84"/>
    <w:rsid w:val="00F53F9E"/>
    <w:rsid w:val="00F56F3C"/>
    <w:rsid w:val="00F60DA2"/>
    <w:rsid w:val="00F64991"/>
    <w:rsid w:val="00F66429"/>
    <w:rsid w:val="00F7004C"/>
    <w:rsid w:val="00F718F4"/>
    <w:rsid w:val="00F72C16"/>
    <w:rsid w:val="00F84E2E"/>
    <w:rsid w:val="00F86708"/>
    <w:rsid w:val="00F934CC"/>
    <w:rsid w:val="00F96E3B"/>
    <w:rsid w:val="00FA0583"/>
    <w:rsid w:val="00FA71A9"/>
    <w:rsid w:val="00FB0D3A"/>
    <w:rsid w:val="00FB264C"/>
    <w:rsid w:val="00FC60B3"/>
    <w:rsid w:val="00FD04B0"/>
    <w:rsid w:val="00FD36F0"/>
    <w:rsid w:val="00FD3B0D"/>
    <w:rsid w:val="00FE0CCA"/>
    <w:rsid w:val="00FE400D"/>
    <w:rsid w:val="00FF2070"/>
    <w:rsid w:val="00FF2824"/>
    <w:rsid w:val="00FF3C40"/>
    <w:rsid w:val="00FF4E9E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3429"/>
  <w15:chartTrackingRefBased/>
  <w15:docId w15:val="{B51F00BE-E68F-4B1F-BD65-C60DC774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EE9"/>
    <w:pPr>
      <w:keepNext/>
      <w:spacing w:before="240" w:after="60" w:line="360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407EE9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EE9"/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07EE9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character" w:customStyle="1" w:styleId="normaltextrun">
    <w:name w:val="normaltextrun"/>
    <w:basedOn w:val="Domylnaczcionkaakapitu"/>
    <w:rsid w:val="00407EE9"/>
  </w:style>
  <w:style w:type="paragraph" w:styleId="Akapitzlist">
    <w:name w:val="List Paragraph"/>
    <w:aliases w:val="Numerowanie,List Paragraph,L1,Akapit z listą4,CW_Lista,Podsis rysunku,Akapit z listą numerowaną,BulletC,Wyliczanie,Obiekt,normalny tekst,Akapit z listą31,Bullets,List Paragraph1,Akapit z listą5,lp1,List Paragraph2,Bullet Number,lp11"/>
    <w:basedOn w:val="Normalny"/>
    <w:link w:val="AkapitzlistZnak"/>
    <w:uiPriority w:val="34"/>
    <w:qFormat/>
    <w:rsid w:val="00407E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64C3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64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864C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C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540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06D"/>
  </w:style>
  <w:style w:type="paragraph" w:styleId="Stopka">
    <w:name w:val="footer"/>
    <w:basedOn w:val="Normalny"/>
    <w:link w:val="Stopka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06D"/>
  </w:style>
  <w:style w:type="character" w:styleId="Hipercze">
    <w:name w:val="Hyperlink"/>
    <w:basedOn w:val="Domylnaczcionkaakapitu"/>
    <w:uiPriority w:val="99"/>
    <w:unhideWhenUsed/>
    <w:rsid w:val="00F305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5C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305C9"/>
    <w:rPr>
      <w:color w:val="954F72" w:themeColor="followed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qFormat/>
    <w:rsid w:val="00E32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E32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E322F8"/>
    <w:rPr>
      <w:vertAlign w:val="superscript"/>
    </w:rPr>
  </w:style>
  <w:style w:type="character" w:customStyle="1" w:styleId="AkapitzlistZnak">
    <w:name w:val="Akapit z listą Znak"/>
    <w:aliases w:val="Numerowanie Znak,List Paragraph Znak,L1 Znak,Akapit z listą4 Znak,CW_Lista Znak,Podsis rysunku Znak,Akapit z listą numerowaną Znak,BulletC Znak,Wyliczanie Znak,Obiekt Znak,normalny tekst Znak,Akapit z listą31 Znak,Bullets Znak"/>
    <w:basedOn w:val="Domylnaczcionkaakapitu"/>
    <w:link w:val="Akapitzlist"/>
    <w:uiPriority w:val="34"/>
    <w:qFormat/>
    <w:locked/>
    <w:rsid w:val="00811A76"/>
  </w:style>
  <w:style w:type="table" w:styleId="Tabela-Siatka">
    <w:name w:val="Table Grid"/>
    <w:basedOn w:val="Standardowy"/>
    <w:uiPriority w:val="39"/>
    <w:rsid w:val="00293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D8795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E9AA-F3D8-4336-849A-A0432A1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13</Pages>
  <Words>4611</Words>
  <Characters>27669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Kopańska Monika</dc:creator>
  <cp:keywords/>
  <dc:description/>
  <cp:lastModifiedBy>Kobryn Marta</cp:lastModifiedBy>
  <cp:revision>52</cp:revision>
  <cp:lastPrinted>2024-10-03T11:56:00Z</cp:lastPrinted>
  <dcterms:created xsi:type="dcterms:W3CDTF">2025-05-27T09:04:00Z</dcterms:created>
  <dcterms:modified xsi:type="dcterms:W3CDTF">2025-07-17T14:06:00Z</dcterms:modified>
</cp:coreProperties>
</file>